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5B" w:rsidRPr="00D4005B" w:rsidRDefault="00B46C59" w:rsidP="00D4005B">
      <w:pPr>
        <w:pStyle w:val="Bezatstarpm"/>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4</w:t>
      </w:r>
      <w:r w:rsidR="006A2496" w:rsidRPr="006A2496">
        <w:rPr>
          <w:rFonts w:ascii="Times New Roman" w:hAnsi="Times New Roman" w:cs="Times New Roman"/>
          <w:sz w:val="24"/>
          <w:szCs w:val="24"/>
        </w:rPr>
        <w:t>.pielikums</w:t>
      </w:r>
    </w:p>
    <w:p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w:t>
      </w:r>
      <w:proofErr w:type="gramStart"/>
      <w:r w:rsidRPr="009E541C">
        <w:rPr>
          <w:rFonts w:eastAsiaTheme="minorHAnsi"/>
          <w:color w:val="auto"/>
          <w:sz w:val="24"/>
          <w:szCs w:val="24"/>
        </w:rPr>
        <w:t>2014. – 2020.</w:t>
      </w:r>
      <w:proofErr w:type="gramEnd"/>
      <w:r w:rsidRPr="009E541C">
        <w:rPr>
          <w:rFonts w:eastAsiaTheme="minorHAnsi"/>
          <w:color w:val="auto"/>
          <w:sz w:val="24"/>
          <w:szCs w:val="24"/>
        </w:rPr>
        <w:t xml:space="preserve">gada plānošanas perioda atklātas projektu iesniegumu atlases </w:t>
      </w:r>
      <w:r w:rsidR="00484E82">
        <w:rPr>
          <w:rFonts w:eastAsiaTheme="minorHAnsi"/>
          <w:color w:val="auto"/>
          <w:sz w:val="24"/>
          <w:szCs w:val="24"/>
        </w:rPr>
        <w:t>„</w:t>
      </w:r>
      <w:r w:rsidR="001A7ABF" w:rsidRPr="001A7ABF">
        <w:rPr>
          <w:rFonts w:eastAsiaTheme="minorHAnsi"/>
          <w:color w:val="auto"/>
          <w:sz w:val="24"/>
          <w:szCs w:val="24"/>
        </w:rPr>
        <w:t>Trešo valstu pilsoņu sociālo iekļaušanu veicinoši pasākumi, iesaistot masu medijus (3.posms)</w:t>
      </w:r>
      <w:r w:rsidR="00484E82" w:rsidRPr="00B46C59">
        <w:rPr>
          <w:rFonts w:eastAsiaTheme="minorHAnsi"/>
          <w:color w:val="auto"/>
          <w:sz w:val="24"/>
          <w:szCs w:val="24"/>
        </w:rPr>
        <w:t>”</w:t>
      </w:r>
      <w:r w:rsidRPr="009E541C">
        <w:rPr>
          <w:rFonts w:eastAsiaTheme="minorHAnsi"/>
          <w:color w:val="auto"/>
          <w:sz w:val="24"/>
          <w:szCs w:val="24"/>
        </w:rPr>
        <w:t xml:space="preserve"> konkursa nolikum</w:t>
      </w:r>
      <w:r>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w:t>
      </w:r>
      <w:r w:rsidR="001A7ABF" w:rsidRPr="001A7ABF">
        <w:rPr>
          <w:rFonts w:ascii="Times New Roman" w:eastAsia="Times New Roman" w:hAnsi="Times New Roman" w:cs="Times New Roman"/>
          <w:b/>
          <w:bCs/>
          <w:sz w:val="28"/>
          <w:szCs w:val="28"/>
          <w:lang w:eastAsia="lv-LV"/>
        </w:rPr>
        <w:t>Trešo valstu pilsoņu sociālo iekļaušanu veicinoši pasākumi, iesaistot masu medijus (3.posms)</w:t>
      </w:r>
      <w:r w:rsidR="00484E82" w:rsidRPr="00484E82">
        <w:rPr>
          <w:rFonts w:ascii="Times New Roman" w:eastAsia="Times New Roman" w:hAnsi="Times New Roman" w:cs="Times New Roman"/>
          <w:b/>
          <w:bCs/>
          <w:sz w:val="28"/>
          <w:szCs w:val="28"/>
          <w:lang w:eastAsia="lv-LV"/>
        </w:rPr>
        <w:t>”</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00F635EB">
        <w:rPr>
          <w:rFonts w:ascii="Times New Roman" w:eastAsia="Times New Roman" w:hAnsi="Times New Roman" w:cs="Times New Roman"/>
          <w:b/>
          <w:bCs/>
          <w:sz w:val="28"/>
          <w:szCs w:val="28"/>
          <w:lang w:eastAsia="lv-LV"/>
        </w:rPr>
        <w:t xml:space="preserve"> papildus</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921BD3" w:rsidRDefault="00925627" w:rsidP="00921BD3">
            <w:pPr>
              <w:pStyle w:val="Default"/>
              <w:ind w:left="52" w:right="-2"/>
              <w:jc w:val="both"/>
              <w:rPr>
                <w:rFonts w:eastAsiaTheme="minorHAnsi"/>
                <w:color w:val="auto"/>
                <w:sz w:val="24"/>
                <w:szCs w:val="24"/>
              </w:rPr>
            </w:pPr>
            <w:r w:rsidRPr="00925627">
              <w:rPr>
                <w:rFonts w:eastAsia="Times New Roman"/>
                <w:sz w:val="24"/>
                <w:szCs w:val="24"/>
              </w:rPr>
              <w:t xml:space="preserve">Projekta iesniegums ir iesniegts atklātas projektu iesniegumu atlases nolikumā </w:t>
            </w:r>
            <w:r w:rsidR="00921BD3">
              <w:rPr>
                <w:rFonts w:eastAsiaTheme="minorHAnsi"/>
                <w:color w:val="auto"/>
                <w:sz w:val="24"/>
                <w:szCs w:val="24"/>
              </w:rPr>
              <w:t>„</w:t>
            </w:r>
            <w:r w:rsidR="00921BD3" w:rsidRPr="009E541C">
              <w:rPr>
                <w:rFonts w:eastAsiaTheme="minorHAnsi"/>
                <w:color w:val="auto"/>
                <w:sz w:val="24"/>
                <w:szCs w:val="24"/>
              </w:rPr>
              <w:t xml:space="preserve">Patvēruma, migrācijas un integrācijas fonda </w:t>
            </w:r>
            <w:proofErr w:type="gramStart"/>
            <w:r w:rsidR="00921BD3" w:rsidRPr="009E541C">
              <w:rPr>
                <w:rFonts w:eastAsiaTheme="minorHAnsi"/>
                <w:color w:val="auto"/>
                <w:sz w:val="24"/>
                <w:szCs w:val="24"/>
              </w:rPr>
              <w:t>2014. – 2020.</w:t>
            </w:r>
            <w:proofErr w:type="gramEnd"/>
            <w:r w:rsidR="00921BD3" w:rsidRPr="009E541C">
              <w:rPr>
                <w:rFonts w:eastAsiaTheme="minorHAnsi"/>
                <w:color w:val="auto"/>
                <w:sz w:val="24"/>
                <w:szCs w:val="24"/>
              </w:rPr>
              <w:t xml:space="preserve">gada plānošanas perioda atklātas projektu iesniegumu atlases </w:t>
            </w:r>
            <w:r w:rsidR="00921BD3">
              <w:rPr>
                <w:rFonts w:eastAsiaTheme="minorHAnsi"/>
                <w:color w:val="auto"/>
                <w:sz w:val="24"/>
                <w:szCs w:val="24"/>
              </w:rPr>
              <w:t>„</w:t>
            </w:r>
            <w:r w:rsidR="00921BD3" w:rsidRPr="001A7ABF">
              <w:rPr>
                <w:rFonts w:eastAsiaTheme="minorHAnsi"/>
                <w:color w:val="auto"/>
                <w:sz w:val="24"/>
                <w:szCs w:val="24"/>
              </w:rPr>
              <w:t>Trešo valstu pilsoņu sociālo iekļaušanu veicinoši pasākumi, iesaistot masu medijus (3.posms)</w:t>
            </w:r>
            <w:r w:rsidR="00921BD3" w:rsidRPr="00B46C59">
              <w:rPr>
                <w:rFonts w:eastAsiaTheme="minorHAnsi"/>
                <w:color w:val="auto"/>
                <w:sz w:val="24"/>
                <w:szCs w:val="24"/>
              </w:rPr>
              <w:t>”</w:t>
            </w:r>
            <w:r w:rsidR="00921BD3" w:rsidRPr="009E541C">
              <w:rPr>
                <w:rFonts w:eastAsiaTheme="minorHAnsi"/>
                <w:color w:val="auto"/>
                <w:sz w:val="24"/>
                <w:szCs w:val="24"/>
              </w:rPr>
              <w:t xml:space="preserve"> konkursa nolikum</w:t>
            </w:r>
            <w:r w:rsidR="00921BD3">
              <w:rPr>
                <w:rFonts w:eastAsiaTheme="minorHAnsi"/>
                <w:color w:val="auto"/>
                <w:sz w:val="24"/>
                <w:szCs w:val="24"/>
              </w:rPr>
              <w:t>s</w:t>
            </w:r>
            <w:r w:rsidR="00921BD3" w:rsidRPr="00B46C59">
              <w:rPr>
                <w:rFonts w:eastAsiaTheme="minorHAnsi"/>
                <w:color w:val="auto"/>
                <w:sz w:val="24"/>
                <w:szCs w:val="24"/>
              </w:rPr>
              <w:t>”</w:t>
            </w:r>
            <w:r w:rsidR="00921BD3">
              <w:rPr>
                <w:rFonts w:eastAsiaTheme="minorHAnsi"/>
                <w:color w:val="auto"/>
                <w:sz w:val="24"/>
                <w:szCs w:val="24"/>
              </w:rPr>
              <w:t xml:space="preserve"> (turpmāk – nolikums) </w:t>
            </w:r>
            <w:r w:rsidR="00921BD3">
              <w:rPr>
                <w:rFonts w:eastAsiaTheme="minorHAnsi"/>
                <w:sz w:val="24"/>
                <w:szCs w:val="24"/>
              </w:rPr>
              <w:t>n</w:t>
            </w:r>
            <w:r w:rsidRPr="00925627">
              <w:rPr>
                <w:rFonts w:eastAsia="Times New Roman"/>
                <w:sz w:val="24"/>
                <w:szCs w:val="24"/>
              </w:rPr>
              <w:t>oteiktajā</w:t>
            </w:r>
            <w:r w:rsidR="00921BD3">
              <w:rPr>
                <w:rFonts w:eastAsia="Times New Roman"/>
                <w:sz w:val="24"/>
                <w:szCs w:val="24"/>
              </w:rPr>
              <w:t xml:space="preserve"> </w:t>
            </w:r>
            <w:r w:rsidRPr="00925627">
              <w:rPr>
                <w:rFonts w:eastAsia="Times New Roman"/>
                <w:sz w:val="24"/>
                <w:szCs w:val="24"/>
              </w:rPr>
              <w:t>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text" w:val="iesniegums"/>
                <w:attr w:name="baseform" w:val="iesniegums"/>
                <w:attr w:name="id" w:val="-1"/>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1" w:name="p-389062"/>
      <w:bookmarkStart w:id="2" w:name="p40"/>
      <w:bookmarkEnd w:id="1"/>
      <w:bookmarkEnd w:id="2"/>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48"/>
        <w:gridCol w:w="4937"/>
        <w:gridCol w:w="1269"/>
        <w:gridCol w:w="3051"/>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Projekta iesniegumu un tā pielikumus ir parakstījusi paraksttiesīgā persona vai projekta iesnieguma iesniedzēja pilnvarotā persona atbilstoši projekta iesnieguma iesniedzēja darbību regulējošajiem normatīvajiem aktiem, vai arī projekta iesniegums ir parakstīts ar paraksttiesīgās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w:t>
            </w:r>
            <w:r w:rsidRPr="00925627">
              <w:rPr>
                <w:rFonts w:ascii="Times New Roman" w:eastAsia="Times New Roman" w:hAnsi="Times New Roman" w:cs="Times New Roman"/>
                <w:sz w:val="24"/>
                <w:szCs w:val="24"/>
                <w:lang w:eastAsia="lv-LV"/>
              </w:rPr>
              <w:lastRenderedPageBreak/>
              <w:t>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Patvēruma, migrācijas un integrācijas fonda 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5"/>
        <w:gridCol w:w="4461"/>
        <w:gridCol w:w="1200"/>
        <w:gridCol w:w="3569"/>
      </w:tblGrid>
      <w:tr w:rsidR="00CC2F46" w:rsidRPr="00BA3C81" w:rsidTr="008C7B22">
        <w:trPr>
          <w:trHeight w:val="555"/>
          <w:tblHeade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269"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58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762"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58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58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58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269"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58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58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C7B22" w:rsidRPr="00BA3C81" w:rsidTr="009C6E84">
        <w:trPr>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tcPr>
          <w:p w:rsidR="008C7B22" w:rsidRPr="009C6E84" w:rsidRDefault="008C7B22" w:rsidP="009C6E84">
            <w:pPr>
              <w:ind w:firstLine="300"/>
              <w:rPr>
                <w:rFonts w:ascii="Times New Roman" w:eastAsia="Times New Roman" w:hAnsi="Times New Roman" w:cs="Times New Roman"/>
                <w:b/>
                <w:bCs/>
                <w:sz w:val="24"/>
                <w:szCs w:val="24"/>
                <w:lang w:eastAsia="lv-LV"/>
              </w:rPr>
            </w:pPr>
            <w:bookmarkStart w:id="3" w:name="_Hlk67057481"/>
            <w:r>
              <w:rPr>
                <w:rFonts w:ascii="Times New Roman" w:eastAsia="Times New Roman" w:hAnsi="Times New Roman" w:cs="Times New Roman"/>
                <w:b/>
                <w:bCs/>
                <w:sz w:val="24"/>
                <w:szCs w:val="24"/>
                <w:lang w:eastAsia="lv-LV"/>
              </w:rPr>
              <w:t>3.6. Ar komercdarbības atbalsta saņemšanu saistītie nosacījumi</w:t>
            </w:r>
            <w:bookmarkEnd w:id="3"/>
          </w:p>
        </w:tc>
      </w:tr>
      <w:tr w:rsidR="000162C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tcPr>
          <w:p w:rsidR="000162C4" w:rsidRDefault="000162C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008C7B22">
              <w:rPr>
                <w:rFonts w:ascii="Times New Roman" w:eastAsia="Times New Roman" w:hAnsi="Times New Roman" w:cs="Times New Roman"/>
                <w:sz w:val="24"/>
                <w:szCs w:val="24"/>
                <w:lang w:eastAsia="lv-LV"/>
              </w:rPr>
              <w:t>1.</w:t>
            </w:r>
          </w:p>
        </w:tc>
        <w:tc>
          <w:tcPr>
            <w:tcW w:w="2269" w:type="pct"/>
            <w:tcBorders>
              <w:top w:val="outset" w:sz="6" w:space="0" w:color="auto"/>
              <w:left w:val="outset" w:sz="6" w:space="0" w:color="auto"/>
              <w:bottom w:val="outset" w:sz="6" w:space="0" w:color="auto"/>
              <w:right w:val="outset" w:sz="6" w:space="0" w:color="auto"/>
            </w:tcBorders>
            <w:shd w:val="clear" w:color="auto" w:fill="auto"/>
          </w:tcPr>
          <w:p w:rsidR="000162C4" w:rsidRPr="009C6E84" w:rsidRDefault="008B4231" w:rsidP="009C6E84">
            <w:pPr>
              <w:spacing w:before="120" w:after="120"/>
              <w:ind w:right="17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Nolikuma 9.</w:t>
            </w:r>
            <w:r w:rsidR="00D84A06">
              <w:rPr>
                <w:rFonts w:ascii="Times New Roman" w:eastAsia="Times New Roman" w:hAnsi="Times New Roman"/>
                <w:sz w:val="24"/>
                <w:szCs w:val="24"/>
                <w:lang w:eastAsia="lv-LV"/>
              </w:rPr>
              <w:t>2</w:t>
            </w:r>
            <w:r>
              <w:rPr>
                <w:rFonts w:ascii="Times New Roman" w:eastAsia="Times New Roman" w:hAnsi="Times New Roman"/>
                <w:sz w:val="24"/>
                <w:szCs w:val="24"/>
                <w:lang w:eastAsia="lv-LV"/>
              </w:rPr>
              <w:t>.apakšpunktā noteiktais p</w:t>
            </w:r>
            <w:r w:rsidRPr="00DD09AE">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 xml:space="preserve">iesnieguma </w:t>
            </w:r>
            <w:r w:rsidRPr="00DD09AE">
              <w:rPr>
                <w:rFonts w:ascii="Times New Roman" w:eastAsia="Times New Roman" w:hAnsi="Times New Roman"/>
                <w:sz w:val="24"/>
                <w:szCs w:val="24"/>
                <w:lang w:eastAsia="lv-LV"/>
              </w:rPr>
              <w:t>iesniedzēj</w:t>
            </w:r>
            <w:r>
              <w:rPr>
                <w:rFonts w:ascii="Times New Roman" w:eastAsia="Times New Roman" w:hAnsi="Times New Roman"/>
                <w:sz w:val="24"/>
                <w:szCs w:val="24"/>
                <w:lang w:eastAsia="lv-LV"/>
              </w:rPr>
              <w:t>s</w:t>
            </w:r>
            <w:r w:rsidR="00D84A06">
              <w:rPr>
                <w:rFonts w:ascii="Times New Roman" w:eastAsia="Times New Roman" w:hAnsi="Times New Roman"/>
                <w:sz w:val="24"/>
                <w:szCs w:val="24"/>
                <w:lang w:eastAsia="lv-LV"/>
              </w:rPr>
              <w:t xml:space="preserve"> un 11.2.apakšpunktā noteiktais sadarbības partneris (ja attiecināms)</w:t>
            </w:r>
            <w:r>
              <w:rPr>
                <w:rFonts w:ascii="Times New Roman" w:eastAsia="Times New Roman" w:hAnsi="Times New Roman"/>
                <w:sz w:val="24"/>
                <w:szCs w:val="24"/>
                <w:lang w:eastAsia="lv-LV"/>
              </w:rPr>
              <w:t xml:space="preserve"> </w:t>
            </w:r>
            <w:bookmarkStart w:id="4" w:name="_Hlk67321725"/>
            <w:r>
              <w:rPr>
                <w:rFonts w:ascii="Times New Roman" w:eastAsia="Times New Roman" w:hAnsi="Times New Roman"/>
                <w:sz w:val="24"/>
                <w:szCs w:val="24"/>
                <w:lang w:eastAsia="lv-LV"/>
              </w:rPr>
              <w:t>ir</w:t>
            </w:r>
            <w:r w:rsidRPr="00DD09AE">
              <w:rPr>
                <w:rFonts w:ascii="Times New Roman" w:eastAsia="Times New Roman" w:hAnsi="Times New Roman"/>
                <w:sz w:val="24"/>
                <w:szCs w:val="24"/>
                <w:lang w:eastAsia="lv-LV"/>
              </w:rPr>
              <w:t xml:space="preserve"> aizpildī</w:t>
            </w:r>
            <w:r>
              <w:rPr>
                <w:rFonts w:ascii="Times New Roman" w:eastAsia="Times New Roman" w:hAnsi="Times New Roman"/>
                <w:sz w:val="24"/>
                <w:szCs w:val="24"/>
                <w:lang w:eastAsia="lv-LV"/>
              </w:rPr>
              <w:t>jis</w:t>
            </w:r>
            <w:r w:rsidRPr="00DD09AE">
              <w:rPr>
                <w:rFonts w:ascii="Times New Roman" w:eastAsia="Times New Roman" w:hAnsi="Times New Roman"/>
                <w:sz w:val="24"/>
                <w:szCs w:val="24"/>
                <w:lang w:eastAsia="lv-LV"/>
              </w:rPr>
              <w:t xml:space="preserve"> elektronisk</w:t>
            </w:r>
            <w:r>
              <w:rPr>
                <w:rFonts w:ascii="Times New Roman" w:eastAsia="Times New Roman" w:hAnsi="Times New Roman"/>
                <w:sz w:val="24"/>
                <w:szCs w:val="24"/>
                <w:lang w:eastAsia="lv-LV"/>
              </w:rPr>
              <w:t>o</w:t>
            </w:r>
            <w:r w:rsidRPr="00DD09AE">
              <w:rPr>
                <w:rFonts w:ascii="Times New Roman" w:eastAsia="Times New Roman" w:hAnsi="Times New Roman"/>
                <w:sz w:val="24"/>
                <w:szCs w:val="24"/>
                <w:lang w:eastAsia="lv-LV"/>
              </w:rPr>
              <w:t xml:space="preserve"> veidlap</w:t>
            </w:r>
            <w:r>
              <w:rPr>
                <w:rFonts w:ascii="Times New Roman" w:eastAsia="Times New Roman" w:hAnsi="Times New Roman"/>
                <w:sz w:val="24"/>
                <w:szCs w:val="24"/>
                <w:lang w:eastAsia="lv-LV"/>
              </w:rPr>
              <w:t>u</w:t>
            </w:r>
            <w:r w:rsidRPr="00DD09AE">
              <w:rPr>
                <w:rFonts w:ascii="Times New Roman" w:eastAsia="Times New Roman" w:hAnsi="Times New Roman"/>
                <w:sz w:val="24"/>
                <w:szCs w:val="24"/>
                <w:lang w:eastAsia="lv-LV"/>
              </w:rPr>
              <w:t xml:space="preserve"> </w:t>
            </w:r>
            <w:proofErr w:type="spellStart"/>
            <w:r w:rsidRPr="00CA7C92">
              <w:rPr>
                <w:rFonts w:ascii="Times New Roman" w:eastAsia="Times New Roman" w:hAnsi="Times New Roman"/>
                <w:i/>
                <w:iCs/>
                <w:sz w:val="24"/>
                <w:szCs w:val="24"/>
                <w:lang w:eastAsia="lv-LV"/>
              </w:rPr>
              <w:t>de</w:t>
            </w:r>
            <w:proofErr w:type="spellEnd"/>
            <w:r w:rsidRPr="00CA7C92">
              <w:rPr>
                <w:rFonts w:ascii="Times New Roman" w:eastAsia="Times New Roman" w:hAnsi="Times New Roman"/>
                <w:i/>
                <w:iCs/>
                <w:sz w:val="24"/>
                <w:szCs w:val="24"/>
                <w:lang w:eastAsia="lv-LV"/>
              </w:rPr>
              <w:t xml:space="preserve"> </w:t>
            </w:r>
            <w:proofErr w:type="spellStart"/>
            <w:r w:rsidRPr="00CA7C92">
              <w:rPr>
                <w:rFonts w:ascii="Times New Roman" w:eastAsia="Times New Roman" w:hAnsi="Times New Roman"/>
                <w:i/>
                <w:iCs/>
                <w:sz w:val="24"/>
                <w:szCs w:val="24"/>
                <w:lang w:eastAsia="lv-LV"/>
              </w:rPr>
              <w:t>minimis</w:t>
            </w:r>
            <w:proofErr w:type="spellEnd"/>
            <w:r w:rsidRPr="00DD09AE">
              <w:rPr>
                <w:rFonts w:ascii="Times New Roman" w:eastAsia="Times New Roman" w:hAnsi="Times New Roman"/>
                <w:sz w:val="24"/>
                <w:szCs w:val="24"/>
                <w:lang w:eastAsia="lv-LV"/>
              </w:rPr>
              <w:t xml:space="preserve"> atbalsta uzskaites sistēmā atbilstoši Ministru kabineta 2018.gada 21.novembra </w:t>
            </w:r>
            <w:r w:rsidRPr="00DD09AE">
              <w:rPr>
                <w:rFonts w:ascii="Times New Roman" w:eastAsia="Times New Roman" w:hAnsi="Times New Roman"/>
                <w:sz w:val="24"/>
                <w:szCs w:val="24"/>
                <w:lang w:eastAsia="lv-LV"/>
              </w:rPr>
              <w:lastRenderedPageBreak/>
              <w:t xml:space="preserve">noteikumiem Nr.715 „Noteikumi par </w:t>
            </w:r>
            <w:proofErr w:type="spellStart"/>
            <w:r w:rsidRPr="00CA7C92">
              <w:rPr>
                <w:rFonts w:ascii="Times New Roman" w:eastAsia="Times New Roman" w:hAnsi="Times New Roman"/>
                <w:i/>
                <w:iCs/>
                <w:sz w:val="24"/>
                <w:szCs w:val="24"/>
                <w:lang w:eastAsia="lv-LV"/>
              </w:rPr>
              <w:t>de</w:t>
            </w:r>
            <w:proofErr w:type="spellEnd"/>
            <w:r w:rsidRPr="00CA7C92">
              <w:rPr>
                <w:rFonts w:ascii="Times New Roman" w:eastAsia="Times New Roman" w:hAnsi="Times New Roman"/>
                <w:i/>
                <w:iCs/>
                <w:sz w:val="24"/>
                <w:szCs w:val="24"/>
                <w:lang w:eastAsia="lv-LV"/>
              </w:rPr>
              <w:t xml:space="preserve"> </w:t>
            </w:r>
            <w:proofErr w:type="spellStart"/>
            <w:r w:rsidRPr="00CA7C92">
              <w:rPr>
                <w:rFonts w:ascii="Times New Roman" w:eastAsia="Times New Roman" w:hAnsi="Times New Roman"/>
                <w:i/>
                <w:iCs/>
                <w:sz w:val="24"/>
                <w:szCs w:val="24"/>
                <w:lang w:eastAsia="lv-LV"/>
              </w:rPr>
              <w:t>minimis</w:t>
            </w:r>
            <w:proofErr w:type="spellEnd"/>
            <w:r w:rsidRPr="00DD09AE">
              <w:rPr>
                <w:rFonts w:ascii="Times New Roman" w:eastAsia="Times New Roman" w:hAnsi="Times New Roman"/>
                <w:sz w:val="24"/>
                <w:szCs w:val="24"/>
                <w:lang w:eastAsia="lv-LV"/>
              </w:rPr>
              <w:t xml:space="preserve"> atbalsta uzskaites un piešķiršanas kārtību un </w:t>
            </w:r>
            <w:proofErr w:type="spellStart"/>
            <w:r w:rsidRPr="00CA7C92">
              <w:rPr>
                <w:rFonts w:ascii="Times New Roman" w:eastAsia="Times New Roman" w:hAnsi="Times New Roman"/>
                <w:i/>
                <w:iCs/>
                <w:sz w:val="24"/>
                <w:szCs w:val="24"/>
                <w:lang w:eastAsia="lv-LV"/>
              </w:rPr>
              <w:t>de</w:t>
            </w:r>
            <w:proofErr w:type="spellEnd"/>
            <w:r w:rsidRPr="00CA7C92">
              <w:rPr>
                <w:rFonts w:ascii="Times New Roman" w:eastAsia="Times New Roman" w:hAnsi="Times New Roman"/>
                <w:i/>
                <w:iCs/>
                <w:sz w:val="24"/>
                <w:szCs w:val="24"/>
                <w:lang w:eastAsia="lv-LV"/>
              </w:rPr>
              <w:t xml:space="preserve"> </w:t>
            </w:r>
            <w:proofErr w:type="spellStart"/>
            <w:r w:rsidRPr="00CA7C92">
              <w:rPr>
                <w:rFonts w:ascii="Times New Roman" w:eastAsia="Times New Roman" w:hAnsi="Times New Roman"/>
                <w:i/>
                <w:iCs/>
                <w:sz w:val="24"/>
                <w:szCs w:val="24"/>
                <w:lang w:eastAsia="lv-LV"/>
              </w:rPr>
              <w:t>minimis</w:t>
            </w:r>
            <w:proofErr w:type="spellEnd"/>
            <w:r w:rsidRPr="00DD09AE">
              <w:rPr>
                <w:rFonts w:ascii="Times New Roman" w:eastAsia="Times New Roman" w:hAnsi="Times New Roman"/>
                <w:sz w:val="24"/>
                <w:szCs w:val="24"/>
                <w:lang w:eastAsia="lv-LV"/>
              </w:rPr>
              <w:t xml:space="preserve"> atbalsta uzskaites veidlapu paraugiem”, </w:t>
            </w:r>
            <w:r>
              <w:rPr>
                <w:rFonts w:ascii="Times New Roman" w:eastAsia="Times New Roman" w:hAnsi="Times New Roman"/>
                <w:sz w:val="24"/>
                <w:szCs w:val="24"/>
                <w:lang w:eastAsia="lv-LV"/>
              </w:rPr>
              <w:t xml:space="preserve">kā arī papildus iesniedzis </w:t>
            </w:r>
            <w:r w:rsidRPr="005E4428">
              <w:rPr>
                <w:rFonts w:ascii="Times New Roman" w:eastAsia="Times New Roman" w:hAnsi="Times New Roman"/>
                <w:sz w:val="24"/>
                <w:szCs w:val="24"/>
                <w:lang w:eastAsia="lv-LV"/>
              </w:rPr>
              <w:t xml:space="preserve">sagatavotās </w:t>
            </w:r>
            <w:proofErr w:type="spellStart"/>
            <w:r w:rsidRPr="00CA7C92">
              <w:rPr>
                <w:rFonts w:ascii="Times New Roman" w:eastAsia="Times New Roman" w:hAnsi="Times New Roman"/>
                <w:i/>
                <w:iCs/>
                <w:sz w:val="24"/>
                <w:szCs w:val="24"/>
                <w:lang w:eastAsia="lv-LV"/>
              </w:rPr>
              <w:t>de</w:t>
            </w:r>
            <w:proofErr w:type="spellEnd"/>
            <w:r w:rsidRPr="00CA7C92">
              <w:rPr>
                <w:rFonts w:ascii="Times New Roman" w:eastAsia="Times New Roman" w:hAnsi="Times New Roman"/>
                <w:i/>
                <w:iCs/>
                <w:sz w:val="24"/>
                <w:szCs w:val="24"/>
                <w:lang w:eastAsia="lv-LV"/>
              </w:rPr>
              <w:t xml:space="preserve"> </w:t>
            </w:r>
            <w:proofErr w:type="spellStart"/>
            <w:r w:rsidRPr="00CA7C92">
              <w:rPr>
                <w:rFonts w:ascii="Times New Roman" w:eastAsia="Times New Roman" w:hAnsi="Times New Roman"/>
                <w:i/>
                <w:iCs/>
                <w:sz w:val="24"/>
                <w:szCs w:val="24"/>
                <w:lang w:eastAsia="lv-LV"/>
              </w:rPr>
              <w:t>minimis</w:t>
            </w:r>
            <w:proofErr w:type="spellEnd"/>
            <w:r w:rsidRPr="005E4428">
              <w:rPr>
                <w:rFonts w:ascii="Times New Roman" w:eastAsia="Times New Roman" w:hAnsi="Times New Roman"/>
                <w:sz w:val="24"/>
                <w:szCs w:val="24"/>
                <w:lang w:eastAsia="lv-LV"/>
              </w:rPr>
              <w:t xml:space="preserve"> uzskaites veidlapas izdruk</w:t>
            </w:r>
            <w:r>
              <w:rPr>
                <w:rFonts w:ascii="Times New Roman" w:eastAsia="Times New Roman" w:hAnsi="Times New Roman"/>
                <w:sz w:val="24"/>
                <w:szCs w:val="24"/>
                <w:lang w:eastAsia="lv-LV"/>
              </w:rPr>
              <w:t>u.</w:t>
            </w:r>
            <w:bookmarkEnd w:id="4"/>
          </w:p>
        </w:tc>
        <w:tc>
          <w:tcPr>
            <w:tcW w:w="581" w:type="pct"/>
            <w:tcBorders>
              <w:top w:val="outset" w:sz="6" w:space="0" w:color="auto"/>
              <w:left w:val="outset" w:sz="6" w:space="0" w:color="auto"/>
              <w:bottom w:val="outset" w:sz="6" w:space="0" w:color="auto"/>
              <w:right w:val="outset" w:sz="6" w:space="0" w:color="auto"/>
            </w:tcBorders>
          </w:tcPr>
          <w:p w:rsidR="000162C4" w:rsidRPr="00BA3C81" w:rsidRDefault="000162C4" w:rsidP="00E83478">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0162C4" w:rsidRPr="00BA3C81" w:rsidRDefault="000162C4" w:rsidP="00E83478">
            <w:pPr>
              <w:jc w:val="left"/>
              <w:rPr>
                <w:rFonts w:ascii="Times New Roman" w:eastAsia="Times New Roman" w:hAnsi="Times New Roman" w:cs="Times New Roman"/>
                <w:sz w:val="24"/>
                <w:szCs w:val="24"/>
                <w:lang w:eastAsia="lv-LV"/>
              </w:rPr>
            </w:pPr>
          </w:p>
        </w:tc>
      </w:tr>
      <w:tr w:rsidR="00772AF5"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tcPr>
          <w:p w:rsidR="00772AF5" w:rsidRDefault="006A48C7" w:rsidP="00772AF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008C7B22">
              <w:rPr>
                <w:rFonts w:ascii="Times New Roman" w:eastAsia="Times New Roman" w:hAnsi="Times New Roman" w:cs="Times New Roman"/>
                <w:sz w:val="24"/>
                <w:szCs w:val="24"/>
                <w:lang w:eastAsia="lv-LV"/>
              </w:rPr>
              <w:t>2.</w:t>
            </w:r>
          </w:p>
        </w:tc>
        <w:tc>
          <w:tcPr>
            <w:tcW w:w="2269" w:type="pct"/>
            <w:tcBorders>
              <w:top w:val="outset" w:sz="6" w:space="0" w:color="auto"/>
              <w:left w:val="outset" w:sz="6" w:space="0" w:color="auto"/>
              <w:bottom w:val="outset" w:sz="6" w:space="0" w:color="auto"/>
              <w:right w:val="outset" w:sz="6" w:space="0" w:color="auto"/>
            </w:tcBorders>
            <w:shd w:val="clear" w:color="auto" w:fill="auto"/>
          </w:tcPr>
          <w:p w:rsidR="008B4231" w:rsidRPr="00645D6A" w:rsidRDefault="00D84A06" w:rsidP="008B4231">
            <w:pPr>
              <w:ind w:left="97"/>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Nolikuma 9.2.apakšpunktā noteiktais p</w:t>
            </w:r>
            <w:r w:rsidRPr="00DD09AE">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 xml:space="preserve">iesnieguma </w:t>
            </w:r>
            <w:r w:rsidRPr="00DD09AE">
              <w:rPr>
                <w:rFonts w:ascii="Times New Roman" w:eastAsia="Times New Roman" w:hAnsi="Times New Roman"/>
                <w:sz w:val="24"/>
                <w:szCs w:val="24"/>
                <w:lang w:eastAsia="lv-LV"/>
              </w:rPr>
              <w:t>iesniedzēj</w:t>
            </w:r>
            <w:r>
              <w:rPr>
                <w:rFonts w:ascii="Times New Roman" w:eastAsia="Times New Roman" w:hAnsi="Times New Roman"/>
                <w:sz w:val="24"/>
                <w:szCs w:val="24"/>
                <w:lang w:eastAsia="lv-LV"/>
              </w:rPr>
              <w:t xml:space="preserve">s un 11.2.apakšpunktā noteiktais sadarbības partneris (ja attiecināms) </w:t>
            </w:r>
            <w:r w:rsidR="008B4231" w:rsidRPr="00645D6A">
              <w:rPr>
                <w:rFonts w:ascii="Times New Roman" w:eastAsia="Times New Roman" w:hAnsi="Times New Roman" w:cs="Times New Roman"/>
                <w:sz w:val="24"/>
                <w:szCs w:val="24"/>
                <w:lang w:eastAsia="lv-LV"/>
              </w:rPr>
              <w:t xml:space="preserve">nedarbojas tādās izslēgtajās darbības jomās un nozarēs, kas minētas Komisijas regulas Nr.1407/2013 1.panta 1.punktā, līdz ar to tām nevar piešķirt </w:t>
            </w:r>
            <w:proofErr w:type="spellStart"/>
            <w:r w:rsidR="008B4231" w:rsidRPr="00CA7C92">
              <w:rPr>
                <w:rFonts w:ascii="Times New Roman" w:eastAsia="Times New Roman" w:hAnsi="Times New Roman" w:cs="Times New Roman"/>
                <w:i/>
                <w:iCs/>
                <w:sz w:val="24"/>
                <w:szCs w:val="24"/>
                <w:lang w:eastAsia="lv-LV"/>
              </w:rPr>
              <w:t>de</w:t>
            </w:r>
            <w:proofErr w:type="spellEnd"/>
            <w:r w:rsidR="008B4231" w:rsidRPr="00CA7C92">
              <w:rPr>
                <w:rFonts w:ascii="Times New Roman" w:eastAsia="Times New Roman" w:hAnsi="Times New Roman" w:cs="Times New Roman"/>
                <w:i/>
                <w:iCs/>
                <w:sz w:val="24"/>
                <w:szCs w:val="24"/>
                <w:lang w:eastAsia="lv-LV"/>
              </w:rPr>
              <w:t xml:space="preserve"> </w:t>
            </w:r>
            <w:proofErr w:type="spellStart"/>
            <w:r w:rsidR="008B4231" w:rsidRPr="00CA7C92">
              <w:rPr>
                <w:rFonts w:ascii="Times New Roman" w:eastAsia="Times New Roman" w:hAnsi="Times New Roman" w:cs="Times New Roman"/>
                <w:i/>
                <w:iCs/>
                <w:sz w:val="24"/>
                <w:szCs w:val="24"/>
                <w:lang w:eastAsia="lv-LV"/>
              </w:rPr>
              <w:t>minimis</w:t>
            </w:r>
            <w:proofErr w:type="spellEnd"/>
            <w:r w:rsidR="008B4231" w:rsidRPr="00CA7C92">
              <w:rPr>
                <w:rFonts w:ascii="Times New Roman" w:eastAsia="Times New Roman" w:hAnsi="Times New Roman" w:cs="Times New Roman"/>
                <w:i/>
                <w:iCs/>
                <w:sz w:val="24"/>
                <w:szCs w:val="24"/>
                <w:lang w:eastAsia="lv-LV"/>
              </w:rPr>
              <w:t xml:space="preserve"> </w:t>
            </w:r>
            <w:r w:rsidR="008B4231" w:rsidRPr="00645D6A">
              <w:rPr>
                <w:rFonts w:ascii="Times New Roman" w:eastAsia="Times New Roman" w:hAnsi="Times New Roman" w:cs="Times New Roman"/>
                <w:sz w:val="24"/>
                <w:szCs w:val="24"/>
                <w:lang w:eastAsia="lv-LV"/>
              </w:rPr>
              <w:t>atbalstu</w:t>
            </w:r>
            <w:r w:rsidR="008B4231">
              <w:rPr>
                <w:rFonts w:ascii="Times New Roman" w:eastAsia="Times New Roman" w:hAnsi="Times New Roman" w:cs="Times New Roman"/>
                <w:sz w:val="24"/>
                <w:szCs w:val="24"/>
                <w:lang w:eastAsia="lv-LV"/>
              </w:rPr>
              <w:t>.</w:t>
            </w:r>
          </w:p>
          <w:p w:rsidR="00772AF5" w:rsidRDefault="00772AF5" w:rsidP="00772AF5">
            <w:pPr>
              <w:ind w:left="88" w:right="69"/>
              <w:jc w:val="both"/>
            </w:pPr>
          </w:p>
        </w:tc>
        <w:tc>
          <w:tcPr>
            <w:tcW w:w="581" w:type="pct"/>
            <w:tcBorders>
              <w:top w:val="outset" w:sz="6" w:space="0" w:color="auto"/>
              <w:left w:val="outset" w:sz="6" w:space="0" w:color="auto"/>
              <w:bottom w:val="outset" w:sz="6" w:space="0" w:color="auto"/>
              <w:right w:val="outset" w:sz="6" w:space="0" w:color="auto"/>
            </w:tcBorders>
          </w:tcPr>
          <w:p w:rsidR="00772AF5" w:rsidRPr="00BA3C81" w:rsidRDefault="00772AF5" w:rsidP="00772AF5">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772AF5" w:rsidRPr="00BA3C81" w:rsidRDefault="00772AF5" w:rsidP="00772AF5">
            <w:pPr>
              <w:jc w:val="left"/>
              <w:rPr>
                <w:rFonts w:ascii="Times New Roman" w:eastAsia="Times New Roman" w:hAnsi="Times New Roman" w:cs="Times New Roman"/>
                <w:sz w:val="24"/>
                <w:szCs w:val="24"/>
                <w:lang w:eastAsia="lv-LV"/>
              </w:rPr>
            </w:pPr>
          </w:p>
        </w:tc>
      </w:tr>
      <w:tr w:rsidR="00772AF5"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tcPr>
          <w:p w:rsidR="00772AF5" w:rsidRDefault="006A48C7" w:rsidP="00772AF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008C7B22">
              <w:rPr>
                <w:rFonts w:ascii="Times New Roman" w:eastAsia="Times New Roman" w:hAnsi="Times New Roman" w:cs="Times New Roman"/>
                <w:sz w:val="24"/>
                <w:szCs w:val="24"/>
                <w:lang w:eastAsia="lv-LV"/>
              </w:rPr>
              <w:t>3.</w:t>
            </w:r>
          </w:p>
        </w:tc>
        <w:tc>
          <w:tcPr>
            <w:tcW w:w="2269" w:type="pct"/>
            <w:tcBorders>
              <w:top w:val="outset" w:sz="6" w:space="0" w:color="auto"/>
              <w:left w:val="outset" w:sz="6" w:space="0" w:color="auto"/>
              <w:bottom w:val="outset" w:sz="6" w:space="0" w:color="auto"/>
              <w:right w:val="outset" w:sz="6" w:space="0" w:color="auto"/>
            </w:tcBorders>
            <w:shd w:val="clear" w:color="auto" w:fill="auto"/>
            <w:vAlign w:val="center"/>
          </w:tcPr>
          <w:p w:rsidR="008B4231" w:rsidRPr="00645D6A" w:rsidRDefault="008B4231" w:rsidP="008B423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645D6A">
              <w:rPr>
                <w:rFonts w:ascii="Times New Roman" w:eastAsia="Times New Roman" w:hAnsi="Times New Roman" w:cs="Times New Roman"/>
                <w:sz w:val="24"/>
                <w:szCs w:val="24"/>
                <w:lang w:eastAsia="lv-LV"/>
              </w:rPr>
              <w:t xml:space="preserve">a </w:t>
            </w:r>
            <w:r w:rsidR="00921BD3">
              <w:rPr>
                <w:rFonts w:ascii="Times New Roman" w:eastAsia="Times New Roman" w:hAnsi="Times New Roman" w:cs="Times New Roman"/>
                <w:sz w:val="24"/>
                <w:szCs w:val="24"/>
                <w:lang w:eastAsia="lv-LV"/>
              </w:rPr>
              <w:t>n</w:t>
            </w:r>
            <w:r w:rsidR="00D84A06">
              <w:rPr>
                <w:rFonts w:ascii="Times New Roman" w:eastAsia="Times New Roman" w:hAnsi="Times New Roman"/>
                <w:sz w:val="24"/>
                <w:szCs w:val="24"/>
                <w:lang w:eastAsia="lv-LV"/>
              </w:rPr>
              <w:t>olikuma 9.2.apakšpunktā noteiktais p</w:t>
            </w:r>
            <w:r w:rsidR="00D84A06" w:rsidRPr="00DD09AE">
              <w:rPr>
                <w:rFonts w:ascii="Times New Roman" w:eastAsia="Times New Roman" w:hAnsi="Times New Roman"/>
                <w:sz w:val="24"/>
                <w:szCs w:val="24"/>
                <w:lang w:eastAsia="lv-LV"/>
              </w:rPr>
              <w:t xml:space="preserve">rojekta </w:t>
            </w:r>
            <w:r w:rsidR="00D84A06">
              <w:rPr>
                <w:rFonts w:ascii="Times New Roman" w:eastAsia="Times New Roman" w:hAnsi="Times New Roman"/>
                <w:sz w:val="24"/>
                <w:szCs w:val="24"/>
                <w:lang w:eastAsia="lv-LV"/>
              </w:rPr>
              <w:t xml:space="preserve">iesnieguma </w:t>
            </w:r>
            <w:r w:rsidR="00D84A06" w:rsidRPr="00DD09AE">
              <w:rPr>
                <w:rFonts w:ascii="Times New Roman" w:eastAsia="Times New Roman" w:hAnsi="Times New Roman"/>
                <w:sz w:val="24"/>
                <w:szCs w:val="24"/>
                <w:lang w:eastAsia="lv-LV"/>
              </w:rPr>
              <w:t>iesniedzēj</w:t>
            </w:r>
            <w:r w:rsidR="00D84A06">
              <w:rPr>
                <w:rFonts w:ascii="Times New Roman" w:eastAsia="Times New Roman" w:hAnsi="Times New Roman"/>
                <w:sz w:val="24"/>
                <w:szCs w:val="24"/>
                <w:lang w:eastAsia="lv-LV"/>
              </w:rPr>
              <w:t xml:space="preserve">s un 11.2.apakšpunktā noteiktais sadarbības partneris (ja attiecināms) </w:t>
            </w:r>
            <w:r w:rsidRPr="00645D6A">
              <w:rPr>
                <w:rFonts w:ascii="Times New Roman" w:eastAsia="Times New Roman" w:hAnsi="Times New Roman" w:cs="Times New Roman"/>
                <w:sz w:val="24"/>
                <w:szCs w:val="24"/>
                <w:lang w:eastAsia="lv-LV"/>
              </w:rPr>
              <w:t xml:space="preserve">darbojas gan izslēgtajās nozarēs, kas minētas Komisijas regulas Nr.1407/2013 1.panta 1.punktā, gan vienā vai vairākās nozarēs vai citās darbības jomās, uz kurām attiecas šīs Komisijas regulas Nr.1407/2013 darbības joma un saskaņā ar kuru tiek piešķirts </w:t>
            </w:r>
            <w:proofErr w:type="spellStart"/>
            <w:r w:rsidRPr="00CA7C92">
              <w:rPr>
                <w:rFonts w:ascii="Times New Roman" w:eastAsia="Times New Roman" w:hAnsi="Times New Roman" w:cs="Times New Roman"/>
                <w:i/>
                <w:iCs/>
                <w:sz w:val="24"/>
                <w:szCs w:val="24"/>
                <w:lang w:eastAsia="lv-LV"/>
              </w:rPr>
              <w:t>de</w:t>
            </w:r>
            <w:proofErr w:type="spellEnd"/>
            <w:r w:rsidRPr="00CA7C92">
              <w:rPr>
                <w:rFonts w:ascii="Times New Roman" w:eastAsia="Times New Roman" w:hAnsi="Times New Roman" w:cs="Times New Roman"/>
                <w:i/>
                <w:iCs/>
                <w:sz w:val="24"/>
                <w:szCs w:val="24"/>
                <w:lang w:eastAsia="lv-LV"/>
              </w:rPr>
              <w:t xml:space="preserve"> </w:t>
            </w:r>
            <w:proofErr w:type="spellStart"/>
            <w:r w:rsidRPr="00CA7C92">
              <w:rPr>
                <w:rFonts w:ascii="Times New Roman" w:eastAsia="Times New Roman" w:hAnsi="Times New Roman" w:cs="Times New Roman"/>
                <w:i/>
                <w:iCs/>
                <w:sz w:val="24"/>
                <w:szCs w:val="24"/>
                <w:lang w:eastAsia="lv-LV"/>
              </w:rPr>
              <w:t>minimis</w:t>
            </w:r>
            <w:proofErr w:type="spellEnd"/>
            <w:r w:rsidRPr="00645D6A">
              <w:rPr>
                <w:rFonts w:ascii="Times New Roman" w:eastAsia="Times New Roman" w:hAnsi="Times New Roman" w:cs="Times New Roman"/>
                <w:sz w:val="24"/>
                <w:szCs w:val="24"/>
                <w:lang w:eastAsia="lv-LV"/>
              </w:rPr>
              <w:t xml:space="preserve"> atbalsts, projekta iesniedzējs</w:t>
            </w:r>
            <w:r w:rsidR="00D84A06">
              <w:rPr>
                <w:rFonts w:ascii="Times New Roman" w:eastAsia="Times New Roman" w:hAnsi="Times New Roman" w:cs="Times New Roman"/>
                <w:sz w:val="24"/>
                <w:szCs w:val="24"/>
                <w:lang w:eastAsia="lv-LV"/>
              </w:rPr>
              <w:t xml:space="preserve"> un sadarbības partneris (ja attiecināms)</w:t>
            </w:r>
            <w:r w:rsidRPr="00645D6A">
              <w:rPr>
                <w:rFonts w:ascii="Times New Roman" w:eastAsia="Times New Roman" w:hAnsi="Times New Roman" w:cs="Times New Roman"/>
                <w:sz w:val="24"/>
                <w:szCs w:val="24"/>
                <w:lang w:eastAsia="lv-LV"/>
              </w:rPr>
              <w:t xml:space="preserve"> ir nodrošinājis projektu izmaksu nošķiršanu no neatbalstāmajām nozarēm, atbilstoši Komisijas regulas Nr.1407/2013 1.panta 2.punktā noteiktajam</w:t>
            </w:r>
            <w:r>
              <w:rPr>
                <w:rFonts w:ascii="Times New Roman" w:eastAsia="Times New Roman" w:hAnsi="Times New Roman" w:cs="Times New Roman"/>
                <w:sz w:val="24"/>
                <w:szCs w:val="24"/>
                <w:lang w:eastAsia="lv-LV"/>
              </w:rPr>
              <w:t>.</w:t>
            </w:r>
            <w:r w:rsidRPr="006A78F3">
              <w:rPr>
                <w:rFonts w:ascii="Times New Roman" w:eastAsia="Times New Roman" w:hAnsi="Times New Roman" w:cs="Times New Roman"/>
                <w:sz w:val="24"/>
                <w:szCs w:val="24"/>
                <w:vertAlign w:val="superscript"/>
                <w:lang w:eastAsia="lv-LV"/>
              </w:rPr>
              <w:t>1</w:t>
            </w:r>
          </w:p>
          <w:p w:rsidR="006A78F3" w:rsidRDefault="006A78F3" w:rsidP="00772AF5">
            <w:pPr>
              <w:ind w:left="97"/>
              <w:jc w:val="both"/>
            </w:pPr>
          </w:p>
          <w:p w:rsidR="00772AF5" w:rsidRDefault="006A78F3" w:rsidP="00772AF5">
            <w:pPr>
              <w:ind w:left="97"/>
              <w:jc w:val="both"/>
              <w:rPr>
                <w:rFonts w:ascii="Times New Roman" w:eastAsia="Times New Roman" w:hAnsi="Times New Roman" w:cs="Times New Roman"/>
                <w:sz w:val="24"/>
                <w:szCs w:val="24"/>
                <w:lang w:eastAsia="lv-LV"/>
              </w:rPr>
            </w:pPr>
            <w:r>
              <w:rPr>
                <w:rStyle w:val="Vresatsauce"/>
              </w:rPr>
              <w:footnoteRef/>
            </w:r>
            <w:r>
              <w:t xml:space="preserve"> </w:t>
            </w:r>
            <w:r w:rsidRPr="00D84A06">
              <w:rPr>
                <w:rFonts w:ascii="Times New Roman" w:hAnsi="Times New Roman" w:cs="Times New Roman"/>
              </w:rPr>
              <w:t xml:space="preserve">Šo apakšpunktu nepiemēro, ja </w:t>
            </w:r>
            <w:r w:rsidR="00921BD3">
              <w:rPr>
                <w:rFonts w:ascii="Times New Roman" w:eastAsia="Times New Roman" w:hAnsi="Times New Roman" w:cs="Times New Roman"/>
                <w:sz w:val="24"/>
                <w:szCs w:val="24"/>
                <w:lang w:eastAsia="lv-LV"/>
              </w:rPr>
              <w:t>n</w:t>
            </w:r>
            <w:r w:rsidR="00921BD3">
              <w:rPr>
                <w:rFonts w:ascii="Times New Roman" w:eastAsia="Times New Roman" w:hAnsi="Times New Roman"/>
                <w:sz w:val="24"/>
                <w:szCs w:val="24"/>
                <w:lang w:eastAsia="lv-LV"/>
              </w:rPr>
              <w:t>olikuma 9.2.apakšpunktā noteiktais p</w:t>
            </w:r>
            <w:r w:rsidR="00921BD3" w:rsidRPr="00DD09AE">
              <w:rPr>
                <w:rFonts w:ascii="Times New Roman" w:eastAsia="Times New Roman" w:hAnsi="Times New Roman"/>
                <w:sz w:val="24"/>
                <w:szCs w:val="24"/>
                <w:lang w:eastAsia="lv-LV"/>
              </w:rPr>
              <w:t xml:space="preserve">rojekta </w:t>
            </w:r>
            <w:r w:rsidR="00921BD3">
              <w:rPr>
                <w:rFonts w:ascii="Times New Roman" w:eastAsia="Times New Roman" w:hAnsi="Times New Roman"/>
                <w:sz w:val="24"/>
                <w:szCs w:val="24"/>
                <w:lang w:eastAsia="lv-LV"/>
              </w:rPr>
              <w:t xml:space="preserve">iesnieguma </w:t>
            </w:r>
            <w:r w:rsidR="00921BD3" w:rsidRPr="00DD09AE">
              <w:rPr>
                <w:rFonts w:ascii="Times New Roman" w:eastAsia="Times New Roman" w:hAnsi="Times New Roman"/>
                <w:sz w:val="24"/>
                <w:szCs w:val="24"/>
                <w:lang w:eastAsia="lv-LV"/>
              </w:rPr>
              <w:t>iesniedzēj</w:t>
            </w:r>
            <w:r w:rsidR="00921BD3">
              <w:rPr>
                <w:rFonts w:ascii="Times New Roman" w:eastAsia="Times New Roman" w:hAnsi="Times New Roman"/>
                <w:sz w:val="24"/>
                <w:szCs w:val="24"/>
                <w:lang w:eastAsia="lv-LV"/>
              </w:rPr>
              <w:t xml:space="preserve">s un 11.2.apakšpunktā noteiktais sadarbības partneris (ja attiecināms) </w:t>
            </w:r>
            <w:r w:rsidRPr="00D84A06">
              <w:rPr>
                <w:rFonts w:ascii="Times New Roman" w:hAnsi="Times New Roman" w:cs="Times New Roman"/>
              </w:rPr>
              <w:t>saskaņā ar projekta iesniegumam pievienoto dokumentu par projekta iesniedzēja reģistrēto NACE kodu pamatdarbībai nedarbojas izslēgtajās nozarēs, kas minētas Komisijas Regulas Nr.1407/2013. 1.panta 1.punktā.</w:t>
            </w:r>
          </w:p>
        </w:tc>
        <w:tc>
          <w:tcPr>
            <w:tcW w:w="581" w:type="pct"/>
            <w:tcBorders>
              <w:top w:val="outset" w:sz="6" w:space="0" w:color="auto"/>
              <w:left w:val="outset" w:sz="6" w:space="0" w:color="auto"/>
              <w:bottom w:val="outset" w:sz="6" w:space="0" w:color="auto"/>
              <w:right w:val="outset" w:sz="6" w:space="0" w:color="auto"/>
            </w:tcBorders>
          </w:tcPr>
          <w:p w:rsidR="00772AF5" w:rsidRPr="00BA3C81" w:rsidRDefault="00772AF5" w:rsidP="00772AF5">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772AF5" w:rsidRPr="00BA3C81" w:rsidRDefault="00772AF5" w:rsidP="00772AF5">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tcPr>
          <w:p w:rsidR="00C83054" w:rsidRDefault="006A48C7" w:rsidP="00772AF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008C7B22">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p>
        </w:tc>
        <w:tc>
          <w:tcPr>
            <w:tcW w:w="2269" w:type="pct"/>
            <w:tcBorders>
              <w:top w:val="outset" w:sz="6" w:space="0" w:color="auto"/>
              <w:left w:val="outset" w:sz="6" w:space="0" w:color="auto"/>
              <w:bottom w:val="outset" w:sz="6" w:space="0" w:color="auto"/>
              <w:right w:val="outset" w:sz="6" w:space="0" w:color="auto"/>
            </w:tcBorders>
            <w:shd w:val="clear" w:color="auto" w:fill="auto"/>
            <w:vAlign w:val="center"/>
          </w:tcPr>
          <w:p w:rsidR="008B4231" w:rsidRPr="00645D6A" w:rsidRDefault="00D84A06" w:rsidP="008B4231">
            <w:pPr>
              <w:ind w:left="97"/>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Nolikuma 9.2.apakšpunktā noteiktais p</w:t>
            </w:r>
            <w:r w:rsidRPr="00DD09AE">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 xml:space="preserve">iesnieguma </w:t>
            </w:r>
            <w:r w:rsidRPr="00DD09AE">
              <w:rPr>
                <w:rFonts w:ascii="Times New Roman" w:eastAsia="Times New Roman" w:hAnsi="Times New Roman"/>
                <w:sz w:val="24"/>
                <w:szCs w:val="24"/>
                <w:lang w:eastAsia="lv-LV"/>
              </w:rPr>
              <w:t>iesniedzēj</w:t>
            </w:r>
            <w:r>
              <w:rPr>
                <w:rFonts w:ascii="Times New Roman" w:eastAsia="Times New Roman" w:hAnsi="Times New Roman"/>
                <w:sz w:val="24"/>
                <w:szCs w:val="24"/>
                <w:lang w:eastAsia="lv-LV"/>
              </w:rPr>
              <w:t>s un 11.2.apakšpunktā noteiktais sadarbības partneris (ja attiecināms)</w:t>
            </w:r>
            <w:r w:rsidR="008B4231" w:rsidRPr="00645D6A">
              <w:rPr>
                <w:rFonts w:ascii="Times New Roman" w:eastAsia="Times New Roman" w:hAnsi="Times New Roman" w:cs="Times New Roman"/>
                <w:sz w:val="24"/>
                <w:szCs w:val="24"/>
                <w:lang w:eastAsia="lv-LV"/>
              </w:rPr>
              <w:t xml:space="preserve">, ievērojot Komisijas regulas Nr.1407/2013 5.panta </w:t>
            </w:r>
            <w:r w:rsidR="008B4231" w:rsidRPr="00645D6A">
              <w:rPr>
                <w:rFonts w:ascii="Times New Roman" w:eastAsia="Times New Roman" w:hAnsi="Times New Roman" w:cs="Times New Roman"/>
                <w:sz w:val="24"/>
                <w:szCs w:val="24"/>
                <w:lang w:eastAsia="lv-LV"/>
              </w:rPr>
              <w:lastRenderedPageBreak/>
              <w:t xml:space="preserve">1.punktu par atbalsta kumulāciju nepārsniedz Komisijas regulas Nr.1407/2013 3.panta 2.punktā noteikto attiecīgo robežlielumu – viena vienota uzņēmuma līmenī 200 000 </w:t>
            </w:r>
            <w:r w:rsidR="008B4231" w:rsidRPr="00CA7C92">
              <w:rPr>
                <w:rFonts w:ascii="Times New Roman" w:eastAsia="Times New Roman" w:hAnsi="Times New Roman" w:cs="Times New Roman"/>
                <w:i/>
                <w:iCs/>
                <w:sz w:val="24"/>
                <w:szCs w:val="24"/>
                <w:lang w:eastAsia="lv-LV"/>
              </w:rPr>
              <w:t>euro</w:t>
            </w:r>
            <w:r w:rsidR="008B4231" w:rsidRPr="00645D6A">
              <w:rPr>
                <w:rFonts w:ascii="Times New Roman" w:eastAsia="Times New Roman" w:hAnsi="Times New Roman" w:cs="Times New Roman"/>
                <w:sz w:val="24"/>
                <w:szCs w:val="24"/>
                <w:lang w:eastAsia="lv-LV"/>
              </w:rPr>
              <w:t xml:space="preserve"> trīs fiskālo gadu periodā</w:t>
            </w:r>
            <w:r w:rsidR="008B4231">
              <w:rPr>
                <w:rFonts w:ascii="Times New Roman" w:eastAsia="Times New Roman" w:hAnsi="Times New Roman" w:cs="Times New Roman"/>
                <w:sz w:val="24"/>
                <w:szCs w:val="24"/>
                <w:lang w:eastAsia="lv-LV"/>
              </w:rPr>
              <w:t>.</w:t>
            </w:r>
          </w:p>
          <w:p w:rsidR="00C83054" w:rsidRDefault="00C83054" w:rsidP="008C7B22">
            <w:pPr>
              <w:jc w:val="both"/>
              <w:rPr>
                <w:rFonts w:ascii="Times New Roman" w:eastAsia="Times New Roman" w:hAnsi="Times New Roman" w:cs="Times New Roman"/>
                <w:sz w:val="24"/>
                <w:szCs w:val="24"/>
                <w:lang w:eastAsia="lv-LV"/>
              </w:rPr>
            </w:pPr>
          </w:p>
        </w:tc>
        <w:tc>
          <w:tcPr>
            <w:tcW w:w="581" w:type="pct"/>
            <w:tcBorders>
              <w:top w:val="outset" w:sz="6" w:space="0" w:color="auto"/>
              <w:left w:val="outset" w:sz="6" w:space="0" w:color="auto"/>
              <w:bottom w:val="outset" w:sz="6" w:space="0" w:color="auto"/>
              <w:right w:val="outset" w:sz="6" w:space="0" w:color="auto"/>
            </w:tcBorders>
          </w:tcPr>
          <w:p w:rsidR="00C83054" w:rsidRPr="00BA3C81" w:rsidRDefault="00C83054" w:rsidP="00772AF5">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772AF5">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tcPr>
          <w:p w:rsidR="00C83054" w:rsidRDefault="006A48C7"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008C7B22">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p>
        </w:tc>
        <w:tc>
          <w:tcPr>
            <w:tcW w:w="2269" w:type="pct"/>
            <w:tcBorders>
              <w:top w:val="outset" w:sz="6" w:space="0" w:color="auto"/>
              <w:left w:val="outset" w:sz="6" w:space="0" w:color="auto"/>
              <w:bottom w:val="outset" w:sz="6" w:space="0" w:color="auto"/>
              <w:right w:val="outset" w:sz="6" w:space="0" w:color="auto"/>
            </w:tcBorders>
            <w:shd w:val="clear" w:color="auto" w:fill="auto"/>
            <w:vAlign w:val="center"/>
          </w:tcPr>
          <w:p w:rsidR="00C83054" w:rsidRDefault="00D84A06" w:rsidP="00C83054">
            <w:pPr>
              <w:ind w:left="97"/>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Nolikuma 9.2.apakšpunktā noteiktais p</w:t>
            </w:r>
            <w:r w:rsidRPr="00DD09AE">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 xml:space="preserve">iesnieguma </w:t>
            </w:r>
            <w:r w:rsidRPr="00DD09AE">
              <w:rPr>
                <w:rFonts w:ascii="Times New Roman" w:eastAsia="Times New Roman" w:hAnsi="Times New Roman"/>
                <w:sz w:val="24"/>
                <w:szCs w:val="24"/>
                <w:lang w:eastAsia="lv-LV"/>
              </w:rPr>
              <w:t>iesniedzēj</w:t>
            </w:r>
            <w:r>
              <w:rPr>
                <w:rFonts w:ascii="Times New Roman" w:eastAsia="Times New Roman" w:hAnsi="Times New Roman"/>
                <w:sz w:val="24"/>
                <w:szCs w:val="24"/>
                <w:lang w:eastAsia="lv-LV"/>
              </w:rPr>
              <w:t>s un 11.2.apakšpunktā noteiktais sadarbības partneris (ja attiecināms)</w:t>
            </w:r>
            <w:r w:rsidR="008B4231" w:rsidRPr="00645D6A">
              <w:rPr>
                <w:rFonts w:ascii="Times New Roman" w:eastAsia="Times New Roman" w:hAnsi="Times New Roman" w:cs="Times New Roman"/>
                <w:sz w:val="24"/>
                <w:szCs w:val="24"/>
                <w:lang w:eastAsia="lv-LV"/>
              </w:rPr>
              <w:t>, ievērojot Komisijas regulas Nr.</w:t>
            </w:r>
            <w:hyperlink r:id="rId8" w:tgtFrame="_blank" w:history="1">
              <w:r w:rsidR="008B4231" w:rsidRPr="00645D6A">
                <w:rPr>
                  <w:rFonts w:ascii="Times New Roman" w:eastAsia="Times New Roman" w:hAnsi="Times New Roman" w:cs="Times New Roman"/>
                  <w:sz w:val="24"/>
                  <w:szCs w:val="24"/>
                  <w:lang w:eastAsia="lv-LV"/>
                </w:rPr>
                <w:t>1407/2013</w:t>
              </w:r>
            </w:hyperlink>
            <w:r w:rsidR="008B4231" w:rsidRPr="00645D6A">
              <w:rPr>
                <w:rFonts w:ascii="Times New Roman" w:eastAsia="Times New Roman" w:hAnsi="Times New Roman" w:cs="Times New Roman"/>
                <w:sz w:val="24"/>
                <w:szCs w:val="24"/>
                <w:lang w:eastAsia="lv-LV"/>
              </w:rPr>
              <w:t xml:space="preserve"> 5.panta 2.punkta nosacījumus par atbalsta kumulāciju, ir ievērojis, ka šī konkursa ietvaros piešķirto</w:t>
            </w:r>
            <w:r w:rsidR="005370C6">
              <w:rPr>
                <w:rFonts w:ascii="Times New Roman" w:eastAsia="Times New Roman" w:hAnsi="Times New Roman" w:cs="Times New Roman"/>
                <w:sz w:val="24"/>
                <w:szCs w:val="24"/>
                <w:lang w:eastAsia="lv-LV"/>
              </w:rPr>
              <w:t xml:space="preserve"> vai nodoto</w:t>
            </w:r>
            <w:r w:rsidR="008B4231" w:rsidRPr="00645D6A">
              <w:rPr>
                <w:rFonts w:ascii="Times New Roman" w:eastAsia="Times New Roman" w:hAnsi="Times New Roman" w:cs="Times New Roman"/>
                <w:sz w:val="24"/>
                <w:szCs w:val="24"/>
                <w:lang w:eastAsia="lv-LV"/>
              </w:rPr>
              <w:t xml:space="preserve"> </w:t>
            </w:r>
            <w:proofErr w:type="spellStart"/>
            <w:r w:rsidR="008B4231" w:rsidRPr="00CA7C92">
              <w:rPr>
                <w:rFonts w:ascii="Times New Roman" w:eastAsia="Times New Roman" w:hAnsi="Times New Roman" w:cs="Times New Roman"/>
                <w:i/>
                <w:iCs/>
                <w:sz w:val="24"/>
                <w:szCs w:val="24"/>
                <w:lang w:eastAsia="lv-LV"/>
              </w:rPr>
              <w:t>de</w:t>
            </w:r>
            <w:proofErr w:type="spellEnd"/>
            <w:r w:rsidR="008B4231" w:rsidRPr="00CA7C92">
              <w:rPr>
                <w:rFonts w:ascii="Times New Roman" w:eastAsia="Times New Roman" w:hAnsi="Times New Roman" w:cs="Times New Roman"/>
                <w:i/>
                <w:iCs/>
                <w:sz w:val="24"/>
                <w:szCs w:val="24"/>
                <w:lang w:eastAsia="lv-LV"/>
              </w:rPr>
              <w:t xml:space="preserve"> </w:t>
            </w:r>
            <w:proofErr w:type="spellStart"/>
            <w:r w:rsidR="008B4231" w:rsidRPr="00CA7C92">
              <w:rPr>
                <w:rFonts w:ascii="Times New Roman" w:eastAsia="Times New Roman" w:hAnsi="Times New Roman" w:cs="Times New Roman"/>
                <w:i/>
                <w:iCs/>
                <w:sz w:val="24"/>
                <w:szCs w:val="24"/>
                <w:lang w:eastAsia="lv-LV"/>
              </w:rPr>
              <w:t>minimis</w:t>
            </w:r>
            <w:proofErr w:type="spellEnd"/>
            <w:r w:rsidR="008B4231" w:rsidRPr="00645D6A">
              <w:rPr>
                <w:rFonts w:ascii="Times New Roman" w:eastAsia="Times New Roman" w:hAnsi="Times New Roman" w:cs="Times New Roman"/>
                <w:sz w:val="24"/>
                <w:szCs w:val="24"/>
                <w:lang w:eastAsia="lv-LV"/>
              </w:rPr>
              <w:t xml:space="preserve"> atbalstu, </w:t>
            </w:r>
            <w:proofErr w:type="spellStart"/>
            <w:r w:rsidR="008B4231" w:rsidRPr="00645D6A">
              <w:rPr>
                <w:rFonts w:ascii="Times New Roman" w:eastAsia="Times New Roman" w:hAnsi="Times New Roman" w:cs="Times New Roman"/>
                <w:sz w:val="24"/>
                <w:szCs w:val="24"/>
                <w:lang w:eastAsia="lv-LV"/>
              </w:rPr>
              <w:t>kumulējot</w:t>
            </w:r>
            <w:proofErr w:type="spellEnd"/>
            <w:r w:rsidR="008B4231" w:rsidRPr="00645D6A">
              <w:rPr>
                <w:rFonts w:ascii="Times New Roman" w:eastAsia="Times New Roman" w:hAnsi="Times New Roman" w:cs="Times New Roman"/>
                <w:sz w:val="24"/>
                <w:szCs w:val="24"/>
                <w:lang w:eastAsia="lv-LV"/>
              </w:rPr>
              <w:t xml:space="preserve"> ar citu komercdarbības atbalstu attiecībā uz vienām un tām pašām attiecināmajām izmaksām vai citu komercdarbības atbalstu tam pašam riska finansējuma pasākumam, netiek pārsniegta attiecīgā maksimālā atbalsta intensitāte vai atbalsta summa, kāda noteikta komercdarbības atbalsta programmā, atbalsta projektā vai Eiropas Komisijas lēmumā, turklāt šī konkursa ietvaros saņemtā </w:t>
            </w:r>
            <w:proofErr w:type="spellStart"/>
            <w:r w:rsidR="008B4231" w:rsidRPr="00CA7C92">
              <w:rPr>
                <w:rFonts w:ascii="Times New Roman" w:eastAsia="Times New Roman" w:hAnsi="Times New Roman" w:cs="Times New Roman"/>
                <w:i/>
                <w:iCs/>
                <w:sz w:val="24"/>
                <w:szCs w:val="24"/>
                <w:lang w:eastAsia="lv-LV"/>
              </w:rPr>
              <w:t>de</w:t>
            </w:r>
            <w:proofErr w:type="spellEnd"/>
            <w:r w:rsidR="008B4231" w:rsidRPr="00CA7C92">
              <w:rPr>
                <w:rFonts w:ascii="Times New Roman" w:eastAsia="Times New Roman" w:hAnsi="Times New Roman" w:cs="Times New Roman"/>
                <w:i/>
                <w:iCs/>
                <w:sz w:val="24"/>
                <w:szCs w:val="24"/>
                <w:lang w:eastAsia="lv-LV"/>
              </w:rPr>
              <w:t xml:space="preserve"> </w:t>
            </w:r>
            <w:proofErr w:type="spellStart"/>
            <w:r w:rsidR="008B4231" w:rsidRPr="00CA7C92">
              <w:rPr>
                <w:rFonts w:ascii="Times New Roman" w:eastAsia="Times New Roman" w:hAnsi="Times New Roman" w:cs="Times New Roman"/>
                <w:i/>
                <w:iCs/>
                <w:sz w:val="24"/>
                <w:szCs w:val="24"/>
                <w:lang w:eastAsia="lv-LV"/>
              </w:rPr>
              <w:t>minimis</w:t>
            </w:r>
            <w:proofErr w:type="spellEnd"/>
            <w:r w:rsidR="008B4231" w:rsidRPr="00645D6A">
              <w:rPr>
                <w:rFonts w:ascii="Times New Roman" w:eastAsia="Times New Roman" w:hAnsi="Times New Roman" w:cs="Times New Roman"/>
                <w:sz w:val="24"/>
                <w:szCs w:val="24"/>
                <w:lang w:eastAsia="lv-LV"/>
              </w:rPr>
              <w:t xml:space="preserve"> atbalsta summa, kas apvienota ar cita </w:t>
            </w:r>
            <w:proofErr w:type="spellStart"/>
            <w:r w:rsidR="008B4231" w:rsidRPr="00CA7C92">
              <w:rPr>
                <w:rFonts w:ascii="Times New Roman" w:eastAsia="Times New Roman" w:hAnsi="Times New Roman" w:cs="Times New Roman"/>
                <w:i/>
                <w:iCs/>
                <w:sz w:val="24"/>
                <w:szCs w:val="24"/>
                <w:lang w:eastAsia="lv-LV"/>
              </w:rPr>
              <w:t>de</w:t>
            </w:r>
            <w:proofErr w:type="spellEnd"/>
            <w:r w:rsidR="008B4231" w:rsidRPr="00CA7C92">
              <w:rPr>
                <w:rFonts w:ascii="Times New Roman" w:eastAsia="Times New Roman" w:hAnsi="Times New Roman" w:cs="Times New Roman"/>
                <w:i/>
                <w:iCs/>
                <w:sz w:val="24"/>
                <w:szCs w:val="24"/>
                <w:lang w:eastAsia="lv-LV"/>
              </w:rPr>
              <w:t xml:space="preserve"> </w:t>
            </w:r>
            <w:proofErr w:type="spellStart"/>
            <w:r w:rsidR="008B4231" w:rsidRPr="00CA7C92">
              <w:rPr>
                <w:rFonts w:ascii="Times New Roman" w:eastAsia="Times New Roman" w:hAnsi="Times New Roman" w:cs="Times New Roman"/>
                <w:i/>
                <w:iCs/>
                <w:sz w:val="24"/>
                <w:szCs w:val="24"/>
                <w:lang w:eastAsia="lv-LV"/>
              </w:rPr>
              <w:t>minimis</w:t>
            </w:r>
            <w:proofErr w:type="spellEnd"/>
            <w:r w:rsidR="008B4231" w:rsidRPr="00645D6A">
              <w:rPr>
                <w:rFonts w:ascii="Times New Roman" w:eastAsia="Times New Roman" w:hAnsi="Times New Roman" w:cs="Times New Roman"/>
                <w:sz w:val="24"/>
                <w:szCs w:val="24"/>
                <w:lang w:eastAsia="lv-LV"/>
              </w:rPr>
              <w:t xml:space="preserve"> atbalsta summu par vienām un tām pašām attiecināmajām izmaksām, pēc atbalstu apvienošanas vienai atbalsta vienībai vai izmaksu pozīcijai nepārsniedz 100% maksimālo atbalsta intensitāti</w:t>
            </w:r>
            <w:r w:rsidR="008B4231">
              <w:rPr>
                <w:rFonts w:ascii="Times New Roman" w:eastAsia="Times New Roman" w:hAnsi="Times New Roman" w:cs="Times New Roman"/>
                <w:sz w:val="24"/>
                <w:szCs w:val="24"/>
                <w:lang w:eastAsia="lv-LV"/>
              </w:rPr>
              <w:t>.</w:t>
            </w:r>
          </w:p>
        </w:tc>
        <w:tc>
          <w:tcPr>
            <w:tcW w:w="581"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tcPr>
          <w:p w:rsidR="00C83054" w:rsidRDefault="006A48C7"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008C7B22">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p>
        </w:tc>
        <w:tc>
          <w:tcPr>
            <w:tcW w:w="2269" w:type="pct"/>
            <w:tcBorders>
              <w:top w:val="outset" w:sz="6" w:space="0" w:color="auto"/>
              <w:left w:val="outset" w:sz="6" w:space="0" w:color="auto"/>
              <w:bottom w:val="outset" w:sz="6" w:space="0" w:color="auto"/>
              <w:right w:val="outset" w:sz="6" w:space="0" w:color="auto"/>
            </w:tcBorders>
            <w:shd w:val="clear" w:color="auto" w:fill="auto"/>
            <w:vAlign w:val="center"/>
          </w:tcPr>
          <w:p w:rsidR="00C83054" w:rsidRPr="00645D6A" w:rsidRDefault="00D84A06" w:rsidP="00C83054">
            <w:pPr>
              <w:ind w:left="97"/>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Nolikuma 9.2.apakšpunktā noteiktajam p</w:t>
            </w:r>
            <w:r w:rsidRPr="00DD09AE">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 xml:space="preserve">iesnieguma </w:t>
            </w:r>
            <w:r w:rsidRPr="00DD09AE">
              <w:rPr>
                <w:rFonts w:ascii="Times New Roman" w:eastAsia="Times New Roman" w:hAnsi="Times New Roman"/>
                <w:sz w:val="24"/>
                <w:szCs w:val="24"/>
                <w:lang w:eastAsia="lv-LV"/>
              </w:rPr>
              <w:t>iesniedzēj</w:t>
            </w:r>
            <w:r>
              <w:rPr>
                <w:rFonts w:ascii="Times New Roman" w:eastAsia="Times New Roman" w:hAnsi="Times New Roman"/>
                <w:sz w:val="24"/>
                <w:szCs w:val="24"/>
                <w:lang w:eastAsia="lv-LV"/>
              </w:rPr>
              <w:t xml:space="preserve">am un 11.2.apakšpunktā noteiktajam sadarbības partnerim (ja attiecināms) </w:t>
            </w:r>
            <w:r w:rsidR="008B4231">
              <w:rPr>
                <w:rFonts w:ascii="Times New Roman" w:eastAsia="Times New Roman" w:hAnsi="Times New Roman" w:cs="Times New Roman"/>
                <w:sz w:val="24"/>
                <w:szCs w:val="24"/>
                <w:lang w:eastAsia="lv-LV"/>
              </w:rPr>
              <w:t>a</w:t>
            </w:r>
            <w:r w:rsidR="008B4231" w:rsidRPr="00645D6A">
              <w:rPr>
                <w:rFonts w:ascii="Times New Roman" w:eastAsia="Times New Roman" w:hAnsi="Times New Roman" w:cs="Times New Roman"/>
                <w:sz w:val="24"/>
                <w:szCs w:val="24"/>
                <w:lang w:eastAsia="lv-LV"/>
              </w:rPr>
              <w:t>tbalsta apmērs kopā</w:t>
            </w:r>
            <w:r>
              <w:rPr>
                <w:rFonts w:ascii="Times New Roman" w:eastAsia="Times New Roman" w:hAnsi="Times New Roman" w:cs="Times New Roman"/>
                <w:sz w:val="24"/>
                <w:szCs w:val="24"/>
                <w:lang w:eastAsia="lv-LV"/>
              </w:rPr>
              <w:t xml:space="preserve"> (vērtējot atsevišķi projekta iesniedzēju un sadarbības partneri)</w:t>
            </w:r>
            <w:r w:rsidR="008B4231" w:rsidRPr="00645D6A">
              <w:rPr>
                <w:rFonts w:ascii="Times New Roman" w:eastAsia="Times New Roman" w:hAnsi="Times New Roman" w:cs="Times New Roman"/>
                <w:sz w:val="24"/>
                <w:szCs w:val="24"/>
                <w:lang w:eastAsia="lv-LV"/>
              </w:rPr>
              <w:t xml:space="preserve"> ar attiecīgajā fiskālajā gadā un</w:t>
            </w:r>
            <w:r w:rsidR="008B4231">
              <w:rPr>
                <w:rFonts w:ascii="Times New Roman" w:eastAsia="Times New Roman" w:hAnsi="Times New Roman" w:cs="Times New Roman"/>
                <w:sz w:val="24"/>
                <w:szCs w:val="24"/>
                <w:lang w:eastAsia="lv-LV"/>
              </w:rPr>
              <w:t xml:space="preserve"> </w:t>
            </w:r>
            <w:r w:rsidR="008B4231" w:rsidRPr="00645D6A">
              <w:rPr>
                <w:rFonts w:ascii="Times New Roman" w:eastAsia="Times New Roman" w:hAnsi="Times New Roman" w:cs="Times New Roman"/>
                <w:sz w:val="24"/>
                <w:szCs w:val="24"/>
                <w:lang w:eastAsia="lv-LV"/>
              </w:rPr>
              <w:t xml:space="preserve">iepriekšējos divos fiskālajos gados piešķirto </w:t>
            </w:r>
            <w:proofErr w:type="spellStart"/>
            <w:r w:rsidR="008B4231" w:rsidRPr="00CA7C92">
              <w:rPr>
                <w:rFonts w:ascii="Times New Roman" w:eastAsia="Times New Roman" w:hAnsi="Times New Roman" w:cs="Times New Roman"/>
                <w:i/>
                <w:iCs/>
                <w:sz w:val="24"/>
                <w:szCs w:val="24"/>
                <w:lang w:eastAsia="lv-LV"/>
              </w:rPr>
              <w:t>de</w:t>
            </w:r>
            <w:proofErr w:type="spellEnd"/>
            <w:r w:rsidR="008B4231" w:rsidRPr="00CA7C92">
              <w:rPr>
                <w:rFonts w:ascii="Times New Roman" w:eastAsia="Times New Roman" w:hAnsi="Times New Roman" w:cs="Times New Roman"/>
                <w:i/>
                <w:iCs/>
                <w:sz w:val="24"/>
                <w:szCs w:val="24"/>
                <w:lang w:eastAsia="lv-LV"/>
              </w:rPr>
              <w:t xml:space="preserve"> </w:t>
            </w:r>
            <w:proofErr w:type="spellStart"/>
            <w:r w:rsidR="008B4231" w:rsidRPr="00CA7C92">
              <w:rPr>
                <w:rFonts w:ascii="Times New Roman" w:eastAsia="Times New Roman" w:hAnsi="Times New Roman" w:cs="Times New Roman"/>
                <w:i/>
                <w:iCs/>
                <w:sz w:val="24"/>
                <w:szCs w:val="24"/>
                <w:lang w:eastAsia="lv-LV"/>
              </w:rPr>
              <w:t>minimis</w:t>
            </w:r>
            <w:proofErr w:type="spellEnd"/>
            <w:r w:rsidR="008B4231" w:rsidRPr="00645D6A">
              <w:rPr>
                <w:rFonts w:ascii="Times New Roman" w:eastAsia="Times New Roman" w:hAnsi="Times New Roman" w:cs="Times New Roman"/>
                <w:sz w:val="24"/>
                <w:szCs w:val="24"/>
                <w:lang w:eastAsia="lv-LV"/>
              </w:rPr>
              <w:t xml:space="preserve"> atbalstu nepārsniedz Komisijas regulas Nr.1407/2013 3.panta 2.punktā noteikto maksimālo </w:t>
            </w:r>
            <w:proofErr w:type="spellStart"/>
            <w:r w:rsidR="008B4231" w:rsidRPr="00CA7C92">
              <w:rPr>
                <w:rFonts w:ascii="Times New Roman" w:eastAsia="Times New Roman" w:hAnsi="Times New Roman" w:cs="Times New Roman"/>
                <w:i/>
                <w:iCs/>
                <w:sz w:val="24"/>
                <w:szCs w:val="24"/>
                <w:lang w:eastAsia="lv-LV"/>
              </w:rPr>
              <w:t>de</w:t>
            </w:r>
            <w:proofErr w:type="spellEnd"/>
            <w:r w:rsidR="008B4231" w:rsidRPr="00CA7C92">
              <w:rPr>
                <w:rFonts w:ascii="Times New Roman" w:eastAsia="Times New Roman" w:hAnsi="Times New Roman" w:cs="Times New Roman"/>
                <w:i/>
                <w:iCs/>
                <w:sz w:val="24"/>
                <w:szCs w:val="24"/>
                <w:lang w:eastAsia="lv-LV"/>
              </w:rPr>
              <w:t xml:space="preserve"> </w:t>
            </w:r>
            <w:proofErr w:type="spellStart"/>
            <w:r w:rsidR="008B4231" w:rsidRPr="00CA7C92">
              <w:rPr>
                <w:rFonts w:ascii="Times New Roman" w:eastAsia="Times New Roman" w:hAnsi="Times New Roman" w:cs="Times New Roman"/>
                <w:i/>
                <w:iCs/>
                <w:sz w:val="24"/>
                <w:szCs w:val="24"/>
                <w:lang w:eastAsia="lv-LV"/>
              </w:rPr>
              <w:t>minimis</w:t>
            </w:r>
            <w:proofErr w:type="spellEnd"/>
            <w:r w:rsidR="008B4231" w:rsidRPr="00645D6A">
              <w:rPr>
                <w:rFonts w:ascii="Times New Roman" w:eastAsia="Times New Roman" w:hAnsi="Times New Roman" w:cs="Times New Roman"/>
                <w:sz w:val="24"/>
                <w:szCs w:val="24"/>
                <w:lang w:eastAsia="lv-LV"/>
              </w:rPr>
              <w:t xml:space="preserve"> atbalsta apmēru vienam vienotam uzņēmumam, atbilstoši Komisijas regulas Nr.1407/2013 2.panta 2.punktā minētajai definīcijai.</w:t>
            </w:r>
          </w:p>
        </w:tc>
        <w:tc>
          <w:tcPr>
            <w:tcW w:w="581"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8B4231"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tcPr>
          <w:p w:rsidR="008B4231" w:rsidRDefault="008B4231"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008C7B22">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r w:rsidR="008C7B22">
              <w:rPr>
                <w:rFonts w:ascii="Times New Roman" w:eastAsia="Times New Roman" w:hAnsi="Times New Roman" w:cs="Times New Roman"/>
                <w:sz w:val="24"/>
                <w:szCs w:val="24"/>
                <w:lang w:eastAsia="lv-LV"/>
              </w:rPr>
              <w:t>7.</w:t>
            </w:r>
          </w:p>
        </w:tc>
        <w:tc>
          <w:tcPr>
            <w:tcW w:w="2269" w:type="pct"/>
            <w:tcBorders>
              <w:top w:val="outset" w:sz="6" w:space="0" w:color="auto"/>
              <w:left w:val="outset" w:sz="6" w:space="0" w:color="auto"/>
              <w:bottom w:val="outset" w:sz="6" w:space="0" w:color="auto"/>
              <w:right w:val="outset" w:sz="6" w:space="0" w:color="auto"/>
            </w:tcBorders>
            <w:shd w:val="clear" w:color="auto" w:fill="auto"/>
            <w:vAlign w:val="center"/>
          </w:tcPr>
          <w:p w:rsidR="008B4231" w:rsidRDefault="008B4231" w:rsidP="00C83054">
            <w:pPr>
              <w:ind w:left="97"/>
              <w:jc w:val="both"/>
              <w:rPr>
                <w:rFonts w:ascii="Times New Roman" w:eastAsia="Times New Roman" w:hAnsi="Times New Roman"/>
                <w:sz w:val="24"/>
                <w:szCs w:val="24"/>
                <w:lang w:eastAsia="lv-LV"/>
              </w:rPr>
            </w:pPr>
            <w:r w:rsidRPr="00F14F64">
              <w:rPr>
                <w:rFonts w:ascii="Times New Roman" w:eastAsia="Times New Roman" w:hAnsi="Times New Roman" w:cs="Times New Roman"/>
                <w:sz w:val="24"/>
                <w:szCs w:val="24"/>
                <w:lang w:eastAsia="lv-LV"/>
              </w:rPr>
              <w:t>Nolikuma 9.</w:t>
            </w:r>
            <w:r w:rsidR="00D84A06">
              <w:rPr>
                <w:rFonts w:ascii="Times New Roman" w:eastAsia="Times New Roman" w:hAnsi="Times New Roman" w:cs="Times New Roman"/>
                <w:sz w:val="24"/>
                <w:szCs w:val="24"/>
                <w:lang w:eastAsia="lv-LV"/>
              </w:rPr>
              <w:t>3</w:t>
            </w:r>
            <w:r w:rsidRPr="00F14F64">
              <w:rPr>
                <w:rFonts w:ascii="Times New Roman" w:eastAsia="Times New Roman" w:hAnsi="Times New Roman" w:cs="Times New Roman"/>
                <w:sz w:val="24"/>
                <w:szCs w:val="24"/>
                <w:lang w:eastAsia="lv-LV"/>
              </w:rPr>
              <w:t>.apakšpunktā noteiktais projekta iesnieguma iesniedzējs</w:t>
            </w:r>
            <w:r w:rsidR="00D84A06">
              <w:rPr>
                <w:rFonts w:ascii="Times New Roman" w:eastAsia="Times New Roman" w:hAnsi="Times New Roman" w:cs="Times New Roman"/>
                <w:sz w:val="24"/>
                <w:szCs w:val="24"/>
                <w:lang w:eastAsia="lv-LV"/>
              </w:rPr>
              <w:t xml:space="preserve"> un 11.3.apakšpunktā noteiktais sadarbības partneris (ja attiecināms)</w:t>
            </w:r>
            <w:r w:rsidRPr="00F14F64">
              <w:rPr>
                <w:rFonts w:ascii="Times New Roman" w:eastAsia="Times New Roman" w:hAnsi="Times New Roman" w:cs="Times New Roman"/>
                <w:sz w:val="24"/>
                <w:szCs w:val="24"/>
                <w:lang w:eastAsia="lv-LV"/>
              </w:rPr>
              <w:t xml:space="preserve"> ir tiesīgs pretendēt finansējuma saņemšanai atbilstoši Sabiedrisko elektronisko plašsaziņas līdzekļu un to pārvaldības likumā (ja attiecināms) vai  Elektronisko plašsaziņas līdzekļu likumā (ja attiecināms) noteiktajam kā sabiedriskās apraides pasūtījuma izpildītājs.</w:t>
            </w:r>
          </w:p>
        </w:tc>
        <w:tc>
          <w:tcPr>
            <w:tcW w:w="581" w:type="pct"/>
            <w:tcBorders>
              <w:top w:val="outset" w:sz="6" w:space="0" w:color="auto"/>
              <w:left w:val="outset" w:sz="6" w:space="0" w:color="auto"/>
              <w:bottom w:val="outset" w:sz="6" w:space="0" w:color="auto"/>
              <w:right w:val="outset" w:sz="6" w:space="0" w:color="auto"/>
            </w:tcBorders>
          </w:tcPr>
          <w:p w:rsidR="008B4231" w:rsidRPr="00BA3C81" w:rsidRDefault="008B4231"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8B4231" w:rsidRPr="00BA3C81" w:rsidRDefault="008B4231" w:rsidP="005D4B2D">
            <w:pPr>
              <w:autoSpaceDE w:val="0"/>
              <w:autoSpaceDN w:val="0"/>
              <w:spacing w:before="100" w:beforeAutospacing="1" w:after="100" w:afterAutospacing="1"/>
              <w:jc w:val="both"/>
              <w:rPr>
                <w:rFonts w:ascii="Times New Roman" w:eastAsia="Times New Roman" w:hAnsi="Times New Roman" w:cs="Times New Roman"/>
                <w:sz w:val="24"/>
                <w:szCs w:val="24"/>
                <w:lang w:eastAsia="lv-LV"/>
              </w:rPr>
            </w:pPr>
          </w:p>
        </w:tc>
      </w:tr>
      <w:tr w:rsidR="00C83054"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83054" w:rsidRPr="00E910CB" w:rsidRDefault="00C83054" w:rsidP="00C83054">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Pr="00E910CB">
              <w:rPr>
                <w:rFonts w:ascii="Times New Roman" w:eastAsia="Times New Roman" w:hAnsi="Times New Roman" w:cs="Times New Roman"/>
                <w:b/>
                <w:bCs/>
                <w:sz w:val="24"/>
                <w:szCs w:val="24"/>
                <w:lang w:eastAsia="lv-LV"/>
              </w:rPr>
              <w:t>. Projekta iesnieguma finansiālā atbilstība</w:t>
            </w: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C83054" w:rsidRPr="00BA3C81" w:rsidRDefault="00C83054"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w:t>
            </w:r>
            <w:r w:rsidRPr="00E910CB">
              <w:rPr>
                <w:rFonts w:ascii="Times New Roman" w:eastAsia="Times New Roman" w:hAnsi="Times New Roman" w:cs="Times New Roman"/>
                <w:sz w:val="24"/>
                <w:szCs w:val="24"/>
                <w:lang w:eastAsia="lv-LV"/>
              </w:rPr>
              <w:t>.</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C83054" w:rsidRPr="001E4FDE" w:rsidRDefault="00C83054" w:rsidP="00C83054">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Pr="007A17E1">
              <w:rPr>
                <w:rFonts w:ascii="Times New Roman" w:hAnsi="Times New Roman" w:cs="Times New Roman"/>
                <w:sz w:val="24"/>
                <w:szCs w:val="24"/>
              </w:rPr>
              <w:t>brīdī.</w:t>
            </w:r>
          </w:p>
        </w:tc>
        <w:tc>
          <w:tcPr>
            <w:tcW w:w="581" w:type="pct"/>
            <w:tcBorders>
              <w:top w:val="outset" w:sz="6" w:space="0" w:color="auto"/>
              <w:left w:val="outset" w:sz="6" w:space="0" w:color="auto"/>
              <w:bottom w:val="outset" w:sz="6" w:space="0" w:color="auto"/>
              <w:right w:val="outset" w:sz="6" w:space="0" w:color="auto"/>
            </w:tcBorders>
            <w:hideMark/>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C83054" w:rsidRDefault="00C83054"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C83054" w:rsidRPr="001823F6" w:rsidRDefault="00C83054" w:rsidP="00C83054">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Pr="00DC1757">
              <w:rPr>
                <w:rFonts w:ascii="Times New Roman" w:hAnsi="Times New Roman" w:cs="Times New Roman"/>
                <w:sz w:val="24"/>
                <w:szCs w:val="24"/>
              </w:rPr>
              <w:t xml:space="preserve"> 30 000,00 </w:t>
            </w:r>
            <w:r w:rsidRPr="00F50651">
              <w:rPr>
                <w:rFonts w:ascii="Times New Roman" w:hAnsi="Times New Roman" w:cs="Times New Roman"/>
                <w:i/>
                <w:sz w:val="24"/>
                <w:szCs w:val="24"/>
              </w:rPr>
              <w:t>euro</w:t>
            </w:r>
            <w:r w:rsidRPr="00DC1757">
              <w:rPr>
                <w:rFonts w:ascii="Times New Roman" w:hAnsi="Times New Roman" w:cs="Times New Roman"/>
                <w:sz w:val="24"/>
                <w:szCs w:val="24"/>
              </w:rPr>
              <w:t>.</w:t>
            </w:r>
          </w:p>
        </w:tc>
        <w:tc>
          <w:tcPr>
            <w:tcW w:w="581" w:type="pct"/>
            <w:tcBorders>
              <w:top w:val="outset" w:sz="6" w:space="0" w:color="auto"/>
              <w:left w:val="outset" w:sz="6" w:space="0" w:color="auto"/>
              <w:bottom w:val="outset" w:sz="6" w:space="0" w:color="auto"/>
              <w:right w:val="outset" w:sz="6" w:space="0" w:color="auto"/>
            </w:tcBorders>
            <w:hideMark/>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C83054" w:rsidRPr="00BA3C81" w:rsidRDefault="00C83054"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C83054" w:rsidRPr="001E4FDE" w:rsidRDefault="00C83054" w:rsidP="00C8305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budžets ir sabalansēts (attiecināmo izmaksu kopsumma ir vienāda ar ienākumu kopsummu), tajā skaitā Patvēruma, migrācijas un integrācijas fonda finansējuma un valsts budžeta finansējuma apjoms ir aprēķināts aritmētiski</w:t>
            </w:r>
            <w:r>
              <w:rPr>
                <w:rFonts w:ascii="Times New Roman" w:eastAsia="Times New Roman" w:hAnsi="Times New Roman" w:cs="Times New Roman"/>
                <w:sz w:val="24"/>
                <w:szCs w:val="24"/>
                <w:lang w:eastAsia="lv-LV"/>
              </w:rPr>
              <w:t xml:space="preserve"> </w:t>
            </w:r>
            <w:r w:rsidRPr="001823F6">
              <w:rPr>
                <w:rFonts w:ascii="Times New Roman" w:hAnsi="Times New Roman" w:cs="Times New Roman"/>
                <w:sz w:val="24"/>
                <w:szCs w:val="24"/>
              </w:rPr>
              <w:t>pareizi</w:t>
            </w:r>
            <w:r w:rsidRPr="001823F6">
              <w:rPr>
                <w:rFonts w:ascii="Times New Roman" w:eastAsia="Times New Roman" w:hAnsi="Times New Roman" w:cs="Times New Roman"/>
                <w:sz w:val="24"/>
                <w:szCs w:val="24"/>
                <w:lang w:eastAsia="lv-LV"/>
              </w:rPr>
              <w:t>.</w:t>
            </w:r>
          </w:p>
        </w:tc>
        <w:tc>
          <w:tcPr>
            <w:tcW w:w="581" w:type="pct"/>
            <w:tcBorders>
              <w:top w:val="outset" w:sz="6" w:space="0" w:color="auto"/>
              <w:left w:val="outset" w:sz="6" w:space="0" w:color="auto"/>
              <w:bottom w:val="outset" w:sz="6" w:space="0" w:color="auto"/>
              <w:right w:val="outset" w:sz="6" w:space="0" w:color="auto"/>
            </w:tcBorders>
            <w:hideMark/>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C83054" w:rsidRDefault="00C83054"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C83054" w:rsidRPr="001823F6" w:rsidRDefault="00C83054" w:rsidP="00C83054">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r w:rsidRPr="001823F6">
              <w:rPr>
                <w:rFonts w:ascii="Times New Roman" w:hAnsi="Times New Roman" w:cs="Times New Roman"/>
                <w:i/>
                <w:iCs/>
                <w:sz w:val="24"/>
                <w:szCs w:val="24"/>
              </w:rPr>
              <w:t>euro</w:t>
            </w:r>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581" w:type="pct"/>
            <w:tcBorders>
              <w:top w:val="outset" w:sz="6" w:space="0" w:color="auto"/>
              <w:left w:val="outset" w:sz="6" w:space="0" w:color="auto"/>
              <w:bottom w:val="outset" w:sz="6" w:space="0" w:color="auto"/>
              <w:right w:val="outset" w:sz="6" w:space="0" w:color="auto"/>
            </w:tcBorders>
            <w:hideMark/>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C83054" w:rsidRDefault="00C83054"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C83054" w:rsidRPr="00CB1BE4" w:rsidRDefault="00C83054" w:rsidP="00C83054">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Pr>
                <w:rFonts w:ascii="Times New Roman" w:hAnsi="Times New Roman" w:cs="Times New Roman"/>
                <w:sz w:val="24"/>
                <w:szCs w:val="24"/>
              </w:rPr>
              <w:t xml:space="preserve"> tiek </w:t>
            </w:r>
            <w:r w:rsidRPr="00CB1BE4">
              <w:rPr>
                <w:rFonts w:ascii="Times New Roman" w:hAnsi="Times New Roman" w:cs="Times New Roman"/>
                <w:sz w:val="24"/>
                <w:szCs w:val="24"/>
              </w:rPr>
              <w:t>nodo</w:t>
            </w:r>
            <w:r>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Pr>
                <w:rFonts w:ascii="Times New Roman" w:hAnsi="Times New Roman" w:cs="Times New Roman"/>
                <w:sz w:val="24"/>
                <w:szCs w:val="24"/>
              </w:rPr>
              <w:t>.</w:t>
            </w:r>
          </w:p>
        </w:tc>
        <w:tc>
          <w:tcPr>
            <w:tcW w:w="581" w:type="pct"/>
            <w:tcBorders>
              <w:top w:val="outset" w:sz="6" w:space="0" w:color="auto"/>
              <w:left w:val="outset" w:sz="6" w:space="0" w:color="auto"/>
              <w:bottom w:val="outset" w:sz="6" w:space="0" w:color="auto"/>
              <w:right w:val="outset" w:sz="6" w:space="0" w:color="auto"/>
            </w:tcBorders>
            <w:hideMark/>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C83054" w:rsidRDefault="00C83054"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C83054" w:rsidRDefault="00C83054" w:rsidP="00C83054">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Projekta budžetā paredzētās izmaksas atbilst Iz</w:t>
            </w:r>
            <w:r>
              <w:rPr>
                <w:rFonts w:ascii="Times New Roman" w:eastAsia="Times New Roman" w:hAnsi="Times New Roman" w:cs="Times New Roman"/>
                <w:sz w:val="24"/>
                <w:szCs w:val="24"/>
                <w:lang w:eastAsia="lv-LV"/>
              </w:rPr>
              <w:t>maksu</w:t>
            </w:r>
            <w:r w:rsidRPr="00CB1BE4">
              <w:rPr>
                <w:rFonts w:ascii="Times New Roman" w:eastAsia="Times New Roman" w:hAnsi="Times New Roman" w:cs="Times New Roman"/>
                <w:sz w:val="24"/>
                <w:szCs w:val="24"/>
                <w:lang w:eastAsia="lv-LV"/>
              </w:rPr>
              <w:t xml:space="preserve"> attiecināmības nosacījumiem.</w:t>
            </w:r>
          </w:p>
        </w:tc>
        <w:tc>
          <w:tcPr>
            <w:tcW w:w="581" w:type="pct"/>
            <w:tcBorders>
              <w:top w:val="outset" w:sz="6" w:space="0" w:color="auto"/>
              <w:left w:val="outset" w:sz="6" w:space="0" w:color="auto"/>
              <w:bottom w:val="outset" w:sz="6" w:space="0" w:color="auto"/>
              <w:right w:val="outset" w:sz="6" w:space="0" w:color="auto"/>
            </w:tcBorders>
            <w:hideMark/>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C83054" w:rsidRDefault="00C83054"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C83054" w:rsidRPr="001E4FDE" w:rsidRDefault="00C83054" w:rsidP="00C8305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w:t>
            </w:r>
            <w:r w:rsidRPr="00925627">
              <w:rPr>
                <w:rFonts w:ascii="Times New Roman" w:eastAsia="Times New Roman" w:hAnsi="Times New Roman" w:cs="Times New Roman"/>
                <w:sz w:val="24"/>
                <w:szCs w:val="24"/>
                <w:lang w:eastAsia="lv-LV"/>
              </w:rPr>
              <w:lastRenderedPageBreak/>
              <w:t>iesniegumu atlases kārtība” 91.punktā noteikto</w:t>
            </w:r>
            <w:r w:rsidRPr="003158D3">
              <w:rPr>
                <w:rFonts w:ascii="Times New Roman" w:eastAsia="Times New Roman" w:hAnsi="Times New Roman" w:cs="Times New Roman"/>
                <w:sz w:val="24"/>
                <w:szCs w:val="24"/>
                <w:lang w:eastAsia="lv-LV"/>
              </w:rPr>
              <w:t xml:space="preserve"> proporciju.</w:t>
            </w:r>
          </w:p>
        </w:tc>
        <w:tc>
          <w:tcPr>
            <w:tcW w:w="581" w:type="pct"/>
            <w:tcBorders>
              <w:top w:val="outset" w:sz="6" w:space="0" w:color="auto"/>
              <w:left w:val="outset" w:sz="6" w:space="0" w:color="auto"/>
              <w:bottom w:val="outset" w:sz="6" w:space="0" w:color="auto"/>
              <w:right w:val="outset" w:sz="6" w:space="0" w:color="auto"/>
            </w:tcBorders>
            <w:hideMark/>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C83054" w:rsidRDefault="00C83054"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C83054" w:rsidRDefault="00C83054" w:rsidP="00C83054">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Pr="00B10944">
              <w:rPr>
                <w:rFonts w:ascii="Times New Roman" w:hAnsi="Times New Roman" w:cs="Times New Roman"/>
                <w:sz w:val="24"/>
                <w:szCs w:val="24"/>
              </w:rPr>
              <w:t xml:space="preserve"> izmaksām.</w:t>
            </w:r>
          </w:p>
        </w:tc>
        <w:tc>
          <w:tcPr>
            <w:tcW w:w="581" w:type="pct"/>
            <w:tcBorders>
              <w:top w:val="outset" w:sz="6" w:space="0" w:color="auto"/>
              <w:left w:val="outset" w:sz="6" w:space="0" w:color="auto"/>
              <w:bottom w:val="outset" w:sz="6" w:space="0" w:color="auto"/>
              <w:right w:val="outset" w:sz="6" w:space="0" w:color="auto"/>
            </w:tcBorders>
            <w:hideMark/>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r w:rsidR="00C83054" w:rsidRPr="00BA3C81" w:rsidTr="008C7B22">
        <w:trPr>
          <w:tblCellSpacing w:w="15" w:type="dxa"/>
        </w:trPr>
        <w:tc>
          <w:tcPr>
            <w:tcW w:w="313" w:type="pct"/>
            <w:tcBorders>
              <w:top w:val="outset" w:sz="6" w:space="0" w:color="auto"/>
              <w:left w:val="outset" w:sz="6" w:space="0" w:color="auto"/>
              <w:bottom w:val="outset" w:sz="6" w:space="0" w:color="auto"/>
              <w:right w:val="outset" w:sz="6" w:space="0" w:color="auto"/>
            </w:tcBorders>
            <w:vAlign w:val="center"/>
            <w:hideMark/>
          </w:tcPr>
          <w:p w:rsidR="00C83054" w:rsidRPr="00BA3C81" w:rsidRDefault="00C83054" w:rsidP="00C8305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p>
        </w:tc>
        <w:tc>
          <w:tcPr>
            <w:tcW w:w="2269" w:type="pct"/>
            <w:tcBorders>
              <w:top w:val="outset" w:sz="6" w:space="0" w:color="auto"/>
              <w:left w:val="outset" w:sz="6" w:space="0" w:color="auto"/>
              <w:bottom w:val="outset" w:sz="6" w:space="0" w:color="auto"/>
              <w:right w:val="outset" w:sz="6" w:space="0" w:color="auto"/>
            </w:tcBorders>
            <w:shd w:val="clear" w:color="auto" w:fill="auto"/>
            <w:hideMark/>
          </w:tcPr>
          <w:p w:rsidR="00C83054" w:rsidRDefault="00C83054" w:rsidP="00C8305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Pr="005C0D6B">
              <w:rPr>
                <w:rFonts w:ascii="Times New Roman" w:eastAsia="Times New Roman" w:hAnsi="Times New Roman" w:cs="Times New Roman"/>
                <w:sz w:val="24"/>
                <w:szCs w:val="24"/>
                <w:lang w:eastAsia="lv-LV"/>
              </w:rPr>
              <w:t>jomā</w:t>
            </w:r>
            <w:r>
              <w:rPr>
                <w:rFonts w:ascii="Times New Roman" w:eastAsia="Times New Roman" w:hAnsi="Times New Roman" w:cs="Times New Roman"/>
                <w:sz w:val="24"/>
                <w:szCs w:val="24"/>
                <w:lang w:eastAsia="lv-LV"/>
              </w:rPr>
              <w:t>.</w:t>
            </w:r>
          </w:p>
        </w:tc>
        <w:tc>
          <w:tcPr>
            <w:tcW w:w="581" w:type="pct"/>
            <w:tcBorders>
              <w:top w:val="outset" w:sz="6" w:space="0" w:color="auto"/>
              <w:left w:val="outset" w:sz="6" w:space="0" w:color="auto"/>
              <w:bottom w:val="outset" w:sz="6" w:space="0" w:color="auto"/>
              <w:right w:val="outset" w:sz="6" w:space="0" w:color="auto"/>
            </w:tcBorders>
            <w:hideMark/>
          </w:tcPr>
          <w:p w:rsidR="00C83054" w:rsidRPr="00BA3C81" w:rsidRDefault="00C83054" w:rsidP="00C83054">
            <w:pPr>
              <w:jc w:val="left"/>
              <w:rPr>
                <w:rFonts w:ascii="Times New Roman" w:eastAsia="Times New Roman" w:hAnsi="Times New Roman" w:cs="Times New Roman"/>
                <w:sz w:val="24"/>
                <w:szCs w:val="24"/>
                <w:lang w:eastAsia="lv-LV"/>
              </w:rPr>
            </w:pPr>
          </w:p>
        </w:tc>
        <w:tc>
          <w:tcPr>
            <w:tcW w:w="1762" w:type="pct"/>
            <w:tcBorders>
              <w:top w:val="outset" w:sz="6" w:space="0" w:color="auto"/>
              <w:left w:val="outset" w:sz="6" w:space="0" w:color="auto"/>
              <w:bottom w:val="outset" w:sz="6" w:space="0" w:color="auto"/>
              <w:right w:val="outset" w:sz="6" w:space="0" w:color="auto"/>
            </w:tcBorders>
          </w:tcPr>
          <w:p w:rsidR="00C83054" w:rsidRPr="00BA3C81" w:rsidRDefault="00C83054" w:rsidP="00C83054">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27"/>
        <w:gridCol w:w="4783"/>
        <w:gridCol w:w="1228"/>
        <w:gridCol w:w="3049"/>
      </w:tblGrid>
      <w:tr w:rsidR="00F030F1" w:rsidRPr="00BA3C81" w:rsidTr="00C83054">
        <w:trPr>
          <w:tblHeade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62"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24"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34"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62"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.1.</w:t>
            </w:r>
          </w:p>
        </w:tc>
        <w:tc>
          <w:tcPr>
            <w:tcW w:w="2462"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62"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62"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24"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62"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62"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24"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24"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303"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62"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C83054">
        <w:trPr>
          <w:tblCellSpacing w:w="15" w:type="dxa"/>
        </w:trPr>
        <w:tc>
          <w:tcPr>
            <w:tcW w:w="2780"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24"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34"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 xml:space="preserve">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w:t>
      </w:r>
      <w:proofErr w:type="gramStart"/>
      <w:r w:rsidRPr="00F50651">
        <w:rPr>
          <w:rFonts w:ascii="Times New Roman" w:hAnsi="Times New Roman" w:cs="Times New Roman"/>
        </w:rPr>
        <w:t>mēneši</w:t>
      </w:r>
      <w:proofErr w:type="gramEnd"/>
      <w:r w:rsidRPr="00F50651">
        <w:rPr>
          <w:rFonts w:ascii="Times New Roman" w:hAnsi="Times New Roman" w:cs="Times New Roman"/>
        </w:rPr>
        <w:t>.</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114112"/>
      <w:docPartObj>
        <w:docPartGallery w:val="Page Numbers (Top of Page)"/>
        <w:docPartUnique/>
      </w:docPartObj>
    </w:sdtPr>
    <w:sdtEndPr>
      <w:rPr>
        <w:noProof/>
      </w:rPr>
    </w:sdtEndPr>
    <w:sdtContent>
      <w:p w:rsidR="00BD7424" w:rsidRPr="00E910CB" w:rsidRDefault="007B766C"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F635EB">
          <w:rPr>
            <w:rFonts w:ascii="Times New Roman" w:hAnsi="Times New Roman" w:cs="Times New Roman"/>
            <w:noProof/>
            <w:sz w:val="20"/>
            <w:szCs w:val="20"/>
          </w:rPr>
          <w:t>9</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6E8"/>
    <w:multiLevelType w:val="multilevel"/>
    <w:tmpl w:val="9118C216"/>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3198"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81"/>
    <w:rsid w:val="00000BF3"/>
    <w:rsid w:val="000030AE"/>
    <w:rsid w:val="00015F30"/>
    <w:rsid w:val="000162C4"/>
    <w:rsid w:val="00021A4F"/>
    <w:rsid w:val="000244FB"/>
    <w:rsid w:val="00024572"/>
    <w:rsid w:val="00034F8F"/>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1829"/>
    <w:rsid w:val="00153D8A"/>
    <w:rsid w:val="00155523"/>
    <w:rsid w:val="00155F2E"/>
    <w:rsid w:val="00160DFA"/>
    <w:rsid w:val="001625D7"/>
    <w:rsid w:val="00173FC2"/>
    <w:rsid w:val="0017610B"/>
    <w:rsid w:val="001823F6"/>
    <w:rsid w:val="00183D91"/>
    <w:rsid w:val="00185816"/>
    <w:rsid w:val="001912E5"/>
    <w:rsid w:val="001A36F3"/>
    <w:rsid w:val="001A7ABF"/>
    <w:rsid w:val="001B50EE"/>
    <w:rsid w:val="001C7491"/>
    <w:rsid w:val="001D0F47"/>
    <w:rsid w:val="001D1BD2"/>
    <w:rsid w:val="001D1D98"/>
    <w:rsid w:val="001D4405"/>
    <w:rsid w:val="001D50A5"/>
    <w:rsid w:val="001D5644"/>
    <w:rsid w:val="001D7A38"/>
    <w:rsid w:val="001E4103"/>
    <w:rsid w:val="001E4FDE"/>
    <w:rsid w:val="001F1CFC"/>
    <w:rsid w:val="00206FE9"/>
    <w:rsid w:val="00211E69"/>
    <w:rsid w:val="00215FA9"/>
    <w:rsid w:val="00224673"/>
    <w:rsid w:val="0024730A"/>
    <w:rsid w:val="0024748C"/>
    <w:rsid w:val="00247E2B"/>
    <w:rsid w:val="002573CA"/>
    <w:rsid w:val="002612EC"/>
    <w:rsid w:val="0026171D"/>
    <w:rsid w:val="0026466A"/>
    <w:rsid w:val="00266A17"/>
    <w:rsid w:val="00266F8F"/>
    <w:rsid w:val="00270FBA"/>
    <w:rsid w:val="002815F0"/>
    <w:rsid w:val="00282BBA"/>
    <w:rsid w:val="00286490"/>
    <w:rsid w:val="00290AA8"/>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3B2D"/>
    <w:rsid w:val="00366B4A"/>
    <w:rsid w:val="00374700"/>
    <w:rsid w:val="00376123"/>
    <w:rsid w:val="003A6EC2"/>
    <w:rsid w:val="003C72DE"/>
    <w:rsid w:val="003D0AF8"/>
    <w:rsid w:val="003D566D"/>
    <w:rsid w:val="003E11BA"/>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4E82"/>
    <w:rsid w:val="00486119"/>
    <w:rsid w:val="004A0A7D"/>
    <w:rsid w:val="004A146D"/>
    <w:rsid w:val="004A1761"/>
    <w:rsid w:val="004A5ED3"/>
    <w:rsid w:val="004A6325"/>
    <w:rsid w:val="004A7CAF"/>
    <w:rsid w:val="004B306A"/>
    <w:rsid w:val="004B638F"/>
    <w:rsid w:val="004C32EE"/>
    <w:rsid w:val="004D7E0B"/>
    <w:rsid w:val="004E133D"/>
    <w:rsid w:val="004E5142"/>
    <w:rsid w:val="004E6001"/>
    <w:rsid w:val="004E690A"/>
    <w:rsid w:val="004F31D1"/>
    <w:rsid w:val="005046B6"/>
    <w:rsid w:val="005238EA"/>
    <w:rsid w:val="005242D7"/>
    <w:rsid w:val="0052747B"/>
    <w:rsid w:val="00536FEE"/>
    <w:rsid w:val="005370C6"/>
    <w:rsid w:val="00541644"/>
    <w:rsid w:val="0054287B"/>
    <w:rsid w:val="00562A9B"/>
    <w:rsid w:val="00565F4F"/>
    <w:rsid w:val="005662AB"/>
    <w:rsid w:val="00566B5C"/>
    <w:rsid w:val="005709CC"/>
    <w:rsid w:val="00572612"/>
    <w:rsid w:val="00586AB2"/>
    <w:rsid w:val="00596F15"/>
    <w:rsid w:val="005A2A5F"/>
    <w:rsid w:val="005A2BBB"/>
    <w:rsid w:val="005B2629"/>
    <w:rsid w:val="005B6D95"/>
    <w:rsid w:val="005C067D"/>
    <w:rsid w:val="005C0D6B"/>
    <w:rsid w:val="005D4B2D"/>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00C1"/>
    <w:rsid w:val="0065483D"/>
    <w:rsid w:val="00660E53"/>
    <w:rsid w:val="006619CA"/>
    <w:rsid w:val="00672CCA"/>
    <w:rsid w:val="00676715"/>
    <w:rsid w:val="006839F3"/>
    <w:rsid w:val="00683BFA"/>
    <w:rsid w:val="00686BF7"/>
    <w:rsid w:val="00693261"/>
    <w:rsid w:val="00695908"/>
    <w:rsid w:val="006A2496"/>
    <w:rsid w:val="006A48C7"/>
    <w:rsid w:val="006A5C8E"/>
    <w:rsid w:val="006A78F3"/>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72AF5"/>
    <w:rsid w:val="00787332"/>
    <w:rsid w:val="00792B2B"/>
    <w:rsid w:val="00795D9F"/>
    <w:rsid w:val="00796318"/>
    <w:rsid w:val="007A17E1"/>
    <w:rsid w:val="007A357D"/>
    <w:rsid w:val="007B1296"/>
    <w:rsid w:val="007B6AD0"/>
    <w:rsid w:val="007B766C"/>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B4231"/>
    <w:rsid w:val="008C7B22"/>
    <w:rsid w:val="008D4D6C"/>
    <w:rsid w:val="008D6590"/>
    <w:rsid w:val="008E01A5"/>
    <w:rsid w:val="008F1F7D"/>
    <w:rsid w:val="008F507E"/>
    <w:rsid w:val="00910808"/>
    <w:rsid w:val="00917D0D"/>
    <w:rsid w:val="0092016A"/>
    <w:rsid w:val="00921BD3"/>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C6E84"/>
    <w:rsid w:val="009D0294"/>
    <w:rsid w:val="009D49F2"/>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846AB"/>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1ABD"/>
    <w:rsid w:val="00B02358"/>
    <w:rsid w:val="00B07B4B"/>
    <w:rsid w:val="00B10944"/>
    <w:rsid w:val="00B12CB2"/>
    <w:rsid w:val="00B33EB3"/>
    <w:rsid w:val="00B446E6"/>
    <w:rsid w:val="00B46C59"/>
    <w:rsid w:val="00B5243D"/>
    <w:rsid w:val="00B64C8E"/>
    <w:rsid w:val="00B7638F"/>
    <w:rsid w:val="00B80FC6"/>
    <w:rsid w:val="00B824C1"/>
    <w:rsid w:val="00B85299"/>
    <w:rsid w:val="00B8537E"/>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70A42"/>
    <w:rsid w:val="00C83054"/>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32C47"/>
    <w:rsid w:val="00D4005B"/>
    <w:rsid w:val="00D477FC"/>
    <w:rsid w:val="00D55C80"/>
    <w:rsid w:val="00D56EE1"/>
    <w:rsid w:val="00D61FFA"/>
    <w:rsid w:val="00D640AC"/>
    <w:rsid w:val="00D84A06"/>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5E2A"/>
    <w:rsid w:val="00E46225"/>
    <w:rsid w:val="00E5757C"/>
    <w:rsid w:val="00E6043B"/>
    <w:rsid w:val="00E6487F"/>
    <w:rsid w:val="00E716E9"/>
    <w:rsid w:val="00E747F1"/>
    <w:rsid w:val="00E779FC"/>
    <w:rsid w:val="00E77D79"/>
    <w:rsid w:val="00E83478"/>
    <w:rsid w:val="00E85087"/>
    <w:rsid w:val="00E87C16"/>
    <w:rsid w:val="00E9014F"/>
    <w:rsid w:val="00E910CB"/>
    <w:rsid w:val="00EB0E79"/>
    <w:rsid w:val="00EB3976"/>
    <w:rsid w:val="00ED3550"/>
    <w:rsid w:val="00EE4336"/>
    <w:rsid w:val="00EE7191"/>
    <w:rsid w:val="00EE7D85"/>
    <w:rsid w:val="00EF1980"/>
    <w:rsid w:val="00EF1E93"/>
    <w:rsid w:val="00EF7946"/>
    <w:rsid w:val="00F00000"/>
    <w:rsid w:val="00F00D3B"/>
    <w:rsid w:val="00F030F1"/>
    <w:rsid w:val="00F03F4A"/>
    <w:rsid w:val="00F21F31"/>
    <w:rsid w:val="00F22CCA"/>
    <w:rsid w:val="00F30427"/>
    <w:rsid w:val="00F31629"/>
    <w:rsid w:val="00F3505B"/>
    <w:rsid w:val="00F351FF"/>
    <w:rsid w:val="00F44B48"/>
    <w:rsid w:val="00F50651"/>
    <w:rsid w:val="00F55552"/>
    <w:rsid w:val="00F635EB"/>
    <w:rsid w:val="00F658AF"/>
    <w:rsid w:val="00F65ECB"/>
    <w:rsid w:val="00F720C3"/>
    <w:rsid w:val="00F8114F"/>
    <w:rsid w:val="00F82D1F"/>
    <w:rsid w:val="00F94285"/>
    <w:rsid w:val="00F95434"/>
    <w:rsid w:val="00F97046"/>
    <w:rsid w:val="00FA4B03"/>
    <w:rsid w:val="00FB2CBD"/>
    <w:rsid w:val="00FC1F41"/>
    <w:rsid w:val="00FD0A7C"/>
    <w:rsid w:val="00FD6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0BE87C3D-259D-4F72-A661-0E1CD80E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oj/?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3879F-E6D2-4290-B043-02FE4214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8979</Words>
  <Characters>5119</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Agnese Rubene</cp:lastModifiedBy>
  <cp:revision>2</cp:revision>
  <cp:lastPrinted>2016-01-08T09:21:00Z</cp:lastPrinted>
  <dcterms:created xsi:type="dcterms:W3CDTF">2021-05-06T11:28:00Z</dcterms:created>
  <dcterms:modified xsi:type="dcterms:W3CDTF">2021-05-06T11:28:00Z</dcterms:modified>
</cp:coreProperties>
</file>