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jc w:val="center"/>
        <w:rPr>
          <w:lang w:val="en-US"/>
        </w:rPr>
      </w:pPr>
      <w:r>
        <w:rPr>
          <w:lang w:val="en-US"/>
        </w:rPr>
        <w:t>Partner search form</w:t>
      </w:r>
    </w:p>
    <w:p>
      <w:pPr>
        <w:pStyle w:val="Normal"/>
        <w:jc w:val="center"/>
        <w:rPr>
          <w:lang w:val="en-US"/>
        </w:rPr>
      </w:pPr>
      <w:r>
        <w:rPr>
          <w:lang w:val="en-US"/>
        </w:rPr>
        <w:t>For Creative Europe project applications</w:t>
      </w:r>
    </w:p>
    <w:tbl>
      <w:tblPr>
        <w:tblStyle w:val="TabelacomGrelh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6655"/>
      </w:tblGrid>
      <w:tr>
        <w:trPr/>
        <w:tc>
          <w:tcPr>
            <w:tcW w:w="2972" w:type="dxa"/>
            <w:tcBorders/>
          </w:tcPr>
          <w:p>
            <w:pPr>
              <w:pStyle w:val="Normal"/>
              <w:widowControl w:val="false"/>
              <w:suppressAutoHyphens w:val="true"/>
              <w:spacing w:lineRule="auto" w:line="240" w:before="0" w:after="0"/>
              <w:jc w:val="left"/>
              <w:rPr>
                <w:szCs w:val="20"/>
              </w:rPr>
            </w:pPr>
            <w:r>
              <w:rPr>
                <w:rFonts w:eastAsia="Calibri" w:cs=""/>
                <w:kern w:val="0"/>
                <w:szCs w:val="20"/>
                <w:lang w:val="da-DK" w:eastAsia="en-US" w:bidi="ar-SA"/>
              </w:rPr>
              <w:t>Call</w:t>
            </w:r>
          </w:p>
        </w:tc>
        <w:tc>
          <w:tcPr>
            <w:tcW w:w="6655" w:type="dxa"/>
            <w:tcBorders/>
          </w:tcPr>
          <w:p>
            <w:pPr>
              <w:pStyle w:val="Normal"/>
              <w:widowControl w:val="false"/>
              <w:suppressAutoHyphens w:val="true"/>
              <w:spacing w:lineRule="auto" w:line="240" w:before="0" w:after="0"/>
              <w:jc w:val="left"/>
              <w:rPr>
                <w:i w:val="false"/>
                <w:i w:val="false"/>
                <w:iCs w:val="false"/>
                <w:color w:val="000000"/>
              </w:rPr>
            </w:pPr>
            <w:r>
              <w:rPr>
                <w:i w:val="false"/>
                <w:iCs w:val="false"/>
                <w:color w:val="000000"/>
                <w:szCs w:val="20"/>
                <w:lang w:val="en-US"/>
              </w:rPr>
              <w:t>Support to European Cooperation Projects 2026</w:t>
            </w:r>
          </w:p>
        </w:tc>
      </w:tr>
      <w:tr>
        <w:trPr/>
        <w:tc>
          <w:tcPr>
            <w:tcW w:w="2972" w:type="dxa"/>
            <w:tcBorders/>
          </w:tcPr>
          <w:p>
            <w:pPr>
              <w:pStyle w:val="Normal"/>
              <w:widowControl w:val="false"/>
              <w:suppressAutoHyphens w:val="true"/>
              <w:spacing w:lineRule="auto" w:line="240" w:before="0" w:after="0"/>
              <w:jc w:val="left"/>
              <w:rPr>
                <w:szCs w:val="20"/>
              </w:rPr>
            </w:pPr>
            <w:r>
              <w:rPr>
                <w:rFonts w:eastAsia="Calibri" w:cs=""/>
                <w:kern w:val="0"/>
                <w:szCs w:val="20"/>
                <w:lang w:val="da-DK" w:eastAsia="en-US" w:bidi="ar-SA"/>
              </w:rPr>
              <w:t>Strand or category</w:t>
            </w:r>
          </w:p>
        </w:tc>
        <w:tc>
          <w:tcPr>
            <w:tcW w:w="6655" w:type="dxa"/>
            <w:tcBorders/>
          </w:tcPr>
          <w:p>
            <w:pPr>
              <w:pStyle w:val="Normal"/>
              <w:widowControl w:val="false"/>
              <w:suppressAutoHyphens w:val="true"/>
              <w:spacing w:lineRule="auto" w:line="240" w:before="0" w:after="0"/>
              <w:jc w:val="left"/>
              <w:rPr>
                <w:i w:val="false"/>
                <w:i w:val="false"/>
                <w:iCs w:val="false"/>
                <w:color w:val="000000"/>
              </w:rPr>
            </w:pPr>
            <w:r>
              <w:rPr>
                <w:i w:val="false"/>
                <w:iCs w:val="false"/>
                <w:color w:val="000000"/>
                <w:szCs w:val="20"/>
                <w:lang w:val="en-US"/>
              </w:rPr>
              <w:t>Small Scale Cooperation Projects</w:t>
            </w:r>
          </w:p>
        </w:tc>
      </w:tr>
    </w:tbl>
    <w:p>
      <w:pPr>
        <w:pStyle w:val="Normal"/>
        <w:rPr>
          <w:lang w:val="en-US"/>
        </w:rPr>
      </w:pPr>
      <w:r>
        <w:rPr>
          <w:lang w:val="en-US"/>
        </w:rPr>
      </w:r>
    </w:p>
    <w:p>
      <w:pPr>
        <w:pStyle w:val="Heading2"/>
        <w:rPr>
          <w:lang w:val="en-US"/>
        </w:rPr>
      </w:pPr>
      <w:r>
        <w:rPr>
          <w:lang w:val="en-US"/>
        </w:rPr>
        <w:t>Cultural operator – who are you?</w:t>
      </w:r>
    </w:p>
    <w:tbl>
      <w:tblPr>
        <w:tblStyle w:val="TabelacomGrelh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6655"/>
      </w:tblGrid>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Name of organisation</w:t>
            </w:r>
          </w:p>
        </w:tc>
        <w:tc>
          <w:tcPr>
            <w:tcW w:w="6655" w:type="dxa"/>
            <w:tcBorders/>
          </w:tcPr>
          <w:p>
            <w:pPr>
              <w:pStyle w:val="Normal"/>
              <w:widowControl w:val="false"/>
              <w:suppressAutoHyphens w:val="true"/>
              <w:spacing w:lineRule="auto" w:line="240" w:before="0" w:after="0"/>
              <w:jc w:val="left"/>
              <w:rPr>
                <w:i w:val="false"/>
                <w:i w:val="false"/>
                <w:iCs w:val="false"/>
              </w:rPr>
            </w:pPr>
            <w:r>
              <w:rPr>
                <w:i w:val="false"/>
                <w:iCs w:val="false"/>
                <w:color w:val="000000"/>
                <w:sz w:val="20"/>
                <w:szCs w:val="20"/>
              </w:rPr>
              <w:t>Prienu krasto muziejus</w:t>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Country</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kern w:val="0"/>
                <w:szCs w:val="22"/>
                <w:lang w:val="en-US" w:eastAsia="en-US" w:bidi="ar-SA"/>
              </w:rPr>
              <w:t>Lithuania</w:t>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Organisation website</w:t>
            </w:r>
          </w:p>
        </w:tc>
        <w:tc>
          <w:tcPr>
            <w:tcW w:w="6655" w:type="dxa"/>
            <w:tcBorders/>
          </w:tcPr>
          <w:p>
            <w:pPr>
              <w:pStyle w:val="Normal"/>
              <w:widowControl w:val="false"/>
              <w:suppressAutoHyphens w:val="true"/>
              <w:spacing w:lineRule="auto" w:line="240" w:before="0" w:after="0"/>
              <w:jc w:val="left"/>
              <w:rPr>
                <w:i w:val="false"/>
                <w:i w:val="false"/>
                <w:iCs w:val="false"/>
              </w:rPr>
            </w:pPr>
            <w:r>
              <w:rPr>
                <w:i w:val="false"/>
                <w:iCs w:val="false"/>
                <w:color w:val="000000"/>
                <w:sz w:val="20"/>
                <w:szCs w:val="20"/>
                <w:lang w:val="en-US"/>
              </w:rPr>
              <w:t>https://www.prienumuziejus.lt/</w:t>
            </w:r>
          </w:p>
        </w:tc>
      </w:tr>
      <w:tr>
        <w:trPr>
          <w:trHeight w:val="429" w:hRule="atLeast"/>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Contact person</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color w:val="000000"/>
                <w:kern w:val="0"/>
                <w:sz w:val="20"/>
                <w:szCs w:val="20"/>
                <w:lang w:val="en-US" w:eastAsia="en-US" w:bidi="ar-SA"/>
              </w:rPr>
              <w:t>prienumuziejus@gmail.com</w:t>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Organisation type</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color w:val="000000"/>
                <w:kern w:val="0"/>
                <w:sz w:val="20"/>
                <w:szCs w:val="20"/>
                <w:lang w:val="en-US" w:eastAsia="en-US" w:bidi="ar-SA"/>
              </w:rPr>
              <w:t>Public organisation</w:t>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Scale of the organization</w:t>
            </w:r>
          </w:p>
        </w:tc>
        <w:tc>
          <w:tcPr>
            <w:tcW w:w="6655" w:type="dxa"/>
            <w:tcBorders/>
          </w:tcPr>
          <w:p>
            <w:pPr>
              <w:pStyle w:val="Normal"/>
              <w:widowControl w:val="false"/>
              <w:suppressAutoHyphens w:val="true"/>
              <w:spacing w:lineRule="auto" w:line="240" w:before="0" w:after="0"/>
              <w:jc w:val="left"/>
              <w:rPr>
                <w:i w:val="false"/>
                <w:i w:val="false"/>
                <w:iCs w:val="false"/>
              </w:rPr>
            </w:pPr>
            <w:r>
              <w:rPr>
                <w:i w:val="false"/>
                <w:iCs w:val="false"/>
                <w:color w:val="000000"/>
                <w:sz w:val="20"/>
                <w:szCs w:val="20"/>
                <w:lang w:val="en-US"/>
              </w:rPr>
              <w:t>16 employees</w:t>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PIC number</w:t>
            </w:r>
          </w:p>
        </w:tc>
        <w:tc>
          <w:tcPr>
            <w:tcW w:w="6655" w:type="dxa"/>
            <w:tcBorders/>
          </w:tcPr>
          <w:p>
            <w:pPr>
              <w:pStyle w:val="Normal"/>
              <w:widowControl w:val="false"/>
              <w:suppressAutoHyphens w:val="true"/>
              <w:spacing w:lineRule="auto" w:line="240" w:before="0" w:after="0"/>
              <w:jc w:val="left"/>
              <w:rPr>
                <w:rStyle w:val="Strong"/>
                <w:rFonts w:ascii="Verdana" w:hAnsi="Verdana"/>
                <w:b w:val="false"/>
                <w:b w:val="false"/>
                <w:caps w:val="false"/>
                <w:smallCaps w:val="false"/>
                <w:color w:val="000000"/>
                <w:spacing w:val="0"/>
                <w:sz w:val="20"/>
                <w:szCs w:val="20"/>
                <w:lang w:val="en-US"/>
              </w:rPr>
            </w:pPr>
            <w:r>
              <w:rPr>
                <w:i w:val="false"/>
                <w:iCs w:val="false"/>
                <w:sz w:val="20"/>
                <w:szCs w:val="20"/>
                <w:lang w:val="en-US"/>
              </w:rPr>
              <w:t xml:space="preserve">PIC number – </w:t>
            </w:r>
            <w:r>
              <w:rPr>
                <w:rStyle w:val="Strong"/>
                <w:b w:val="false"/>
                <w:i w:val="false"/>
                <w:iCs w:val="false"/>
                <w:caps w:val="false"/>
                <w:smallCaps w:val="false"/>
                <w:color w:val="000000"/>
                <w:spacing w:val="0"/>
                <w:sz w:val="20"/>
                <w:szCs w:val="20"/>
                <w:lang w:val="en-US"/>
              </w:rPr>
              <w:t xml:space="preserve">896036531, </w:t>
            </w:r>
            <w:bookmarkStart w:id="0" w:name="docs-internal-guid-dd495246-7fff-43f8-a2"/>
            <w:bookmarkEnd w:id="0"/>
            <w:r>
              <w:rPr>
                <w:rStyle w:val="Strong"/>
                <w:b w:val="false"/>
                <w:i w:val="false"/>
                <w:iCs w:val="false"/>
                <w:caps w:val="false"/>
                <w:smallCaps w:val="false"/>
                <w:strike w:val="false"/>
                <w:dstrike w:val="false"/>
                <w:color w:val="000000"/>
                <w:spacing w:val="0"/>
                <w:sz w:val="20"/>
                <w:szCs w:val="20"/>
                <w:u w:val="none"/>
                <w:effect w:val="none"/>
                <w:shd w:fill="auto" w:val="clear"/>
                <w:lang w:val="en-US"/>
              </w:rPr>
              <w:t>OID – E10244153</w:t>
            </w:r>
          </w:p>
        </w:tc>
      </w:tr>
      <w:tr>
        <w:trPr>
          <w:trHeight w:val="70" w:hRule="atLeast"/>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Aims and activities of the organisation</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kern w:val="0"/>
                <w:szCs w:val="22"/>
                <w:lang w:val="en-US" w:eastAsia="en-US" w:bidi="ar-SA"/>
              </w:rPr>
              <w:t>To collect and preserve cultural heritage and make it accessible to diverse audiences, fostering learning, inclusion, and cognitive development</w:t>
            </w:r>
          </w:p>
        </w:tc>
      </w:tr>
      <w:tr>
        <w:trPr>
          <w:trHeight w:val="70" w:hRule="atLeast"/>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Role of the organisation in the project</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kern w:val="0"/>
                <w:szCs w:val="22"/>
                <w:lang w:val="en-US" w:eastAsia="en-US" w:bidi="ar-SA"/>
              </w:rPr>
              <w:t>Project partner</w:t>
            </w:r>
          </w:p>
        </w:tc>
      </w:tr>
      <w:tr>
        <w:trPr>
          <w:trHeight w:val="70" w:hRule="atLeast"/>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Previous EU grants received</w:t>
            </w:r>
          </w:p>
        </w:tc>
        <w:tc>
          <w:tcPr>
            <w:tcW w:w="6655" w:type="dxa"/>
            <w:tcBorders/>
          </w:tcPr>
          <w:p>
            <w:pPr>
              <w:pStyle w:val="Normal"/>
              <w:widowControl w:val="false"/>
              <w:suppressAutoHyphens w:val="true"/>
              <w:spacing w:lineRule="auto" w:line="240" w:before="0" w:after="0"/>
              <w:jc w:val="left"/>
              <w:rPr/>
            </w:pPr>
            <w:r>
              <w:rPr>
                <w:rStyle w:val="InternetLink"/>
                <w:rFonts w:eastAsia="Calibri" w:cs=""/>
                <w:i w:val="false"/>
                <w:iCs w:val="false"/>
                <w:color w:val="000000"/>
                <w:kern w:val="0"/>
                <w:szCs w:val="20"/>
                <w:u w:val="none"/>
                <w:lang w:val="en-US" w:eastAsia="en-US" w:bidi="ar-SA"/>
              </w:rPr>
              <w:t>-</w:t>
            </w:r>
          </w:p>
        </w:tc>
      </w:tr>
    </w:tbl>
    <w:p>
      <w:pPr>
        <w:pStyle w:val="Normal"/>
        <w:rPr>
          <w:lang w:val="en-US"/>
        </w:rPr>
      </w:pPr>
      <w:r>
        <w:rPr>
          <w:lang w:val="en-US"/>
        </w:rPr>
      </w:r>
    </w:p>
    <w:p>
      <w:pPr>
        <w:pStyle w:val="Heading2"/>
        <w:rPr>
          <w:lang w:val="en-US"/>
        </w:rPr>
      </w:pPr>
      <w:r>
        <w:rPr>
          <w:lang w:val="en-US"/>
        </w:rPr>
        <w:t>Proposed Creative Europe project – to which project are you looking for partners?</w:t>
      </w:r>
    </w:p>
    <w:tbl>
      <w:tblPr>
        <w:tblStyle w:val="TabelacomGrelh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6655"/>
      </w:tblGrid>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Sector or field</w:t>
            </w:r>
          </w:p>
        </w:tc>
        <w:tc>
          <w:tcPr>
            <w:tcW w:w="6655" w:type="dxa"/>
            <w:tcBorders/>
          </w:tcPr>
          <w:p>
            <w:pPr>
              <w:pStyle w:val="Normal"/>
              <w:widowControl w:val="false"/>
              <w:suppressAutoHyphens w:val="true"/>
              <w:spacing w:lineRule="auto" w:line="240" w:before="0" w:after="0"/>
              <w:jc w:val="left"/>
              <w:rPr>
                <w:rFonts w:eastAsia="Calibri" w:cs=""/>
                <w:i w:val="false"/>
                <w:i w:val="false"/>
                <w:iCs w:val="false"/>
                <w:kern w:val="0"/>
                <w:szCs w:val="22"/>
                <w:lang w:val="da-DK" w:eastAsia="en-US" w:bidi="ar-SA"/>
              </w:rPr>
            </w:pPr>
            <w:r>
              <w:rPr>
                <w:rFonts w:eastAsia="Calibri" w:cs=""/>
                <w:i w:val="false"/>
                <w:iCs w:val="false"/>
                <w:color w:val="000000"/>
                <w:kern w:val="0"/>
                <w:szCs w:val="22"/>
                <w:lang w:val="en-US" w:eastAsia="en-US" w:bidi="ar-SA"/>
              </w:rPr>
              <w:t>Cultural heritage</w:t>
            </w:r>
          </w:p>
        </w:tc>
      </w:tr>
      <w:tr>
        <w:trPr>
          <w:trHeight w:val="792" w:hRule="atLeast"/>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Description or summary of the proposed project</w:t>
            </w:r>
          </w:p>
        </w:tc>
        <w:tc>
          <w:tcPr>
            <w:tcW w:w="6655" w:type="dxa"/>
            <w:tcBorders/>
          </w:tcPr>
          <w:p>
            <w:pPr>
              <w:pStyle w:val="TextBody"/>
              <w:widowControl w:val="false"/>
              <w:suppressAutoHyphens w:val="true"/>
              <w:spacing w:lineRule="auto" w:line="240" w:before="0" w:after="0"/>
              <w:jc w:val="left"/>
              <w:rPr>
                <w:lang w:val="en-US"/>
              </w:rPr>
            </w:pPr>
            <w:r>
              <w:rPr>
                <w:rFonts w:eastAsia="Calibri" w:cs=""/>
                <w:kern w:val="0"/>
                <w:szCs w:val="22"/>
                <w:lang w:val="en-US" w:eastAsia="en-US" w:bidi="ar-SA"/>
              </w:rPr>
              <w:t>The aim of the project is to strengthen the professional competences of cultural heritage institutions and cultural professionals by developing and delivering more inclusive and accessible cultural services for people with disabilities.</w:t>
            </w:r>
          </w:p>
          <w:p>
            <w:pPr>
              <w:pStyle w:val="TextBody"/>
              <w:widowControl w:val="false"/>
              <w:suppressAutoHyphens w:val="true"/>
              <w:spacing w:lineRule="auto" w:line="240"/>
              <w:rPr>
                <w:lang w:val="en-US"/>
              </w:rPr>
            </w:pPr>
            <w:r>
              <w:rPr>
                <w:lang w:val="en-US"/>
              </w:rPr>
              <w:t>The project targets cultural and arts professionals working in museums and other cultural institutions who are directly involved in the creation, mediation, and dissemination of cultural content. Through international cooperation, the project brings together professionals from different European countries for structured learning, peer-to-peer exchange, and the practical application of accessibility solutions in the cultural sector.</w:t>
            </w:r>
          </w:p>
          <w:p>
            <w:pPr>
              <w:pStyle w:val="TextBody"/>
              <w:widowControl w:val="false"/>
              <w:suppressAutoHyphens w:val="true"/>
              <w:spacing w:lineRule="auto" w:line="240"/>
              <w:rPr>
                <w:lang w:val="en-US"/>
              </w:rPr>
            </w:pPr>
            <w:r>
              <w:rPr>
                <w:lang w:val="en-US"/>
              </w:rPr>
              <w:t>International accessibility-focused learning workshops are designed as a practice-based format combining expert-led sessions, case studies, and collaborative creative working sessions. The main thematic areas include technological accessibility solutions (such as assistive digital tools and inclusive communication methods), architectural and spatial accessibility of cultural heritage sites, and the adaptation of cultural and educational content for audiences with different types of disabilities.</w:t>
            </w:r>
          </w:p>
          <w:p>
            <w:pPr>
              <w:pStyle w:val="TextBody"/>
              <w:widowControl w:val="false"/>
              <w:suppressAutoHyphens w:val="true"/>
              <w:spacing w:lineRule="auto" w:line="240"/>
              <w:rPr>
                <w:lang w:val="en-US"/>
              </w:rPr>
            </w:pPr>
            <w:r>
              <w:rPr>
                <w:lang w:val="en-US"/>
              </w:rPr>
              <w:t>Special attention is given to universal design principles, audience development, and the promotion of equal access to cultural participation. Project participants are encouraged to critically assess current institutional practices, identify accessibility barriers, and co-create transferable and scalable solutions that can be applied across diverse European cultural contexts.</w:t>
            </w:r>
          </w:p>
          <w:p>
            <w:pPr>
              <w:pStyle w:val="Normal"/>
              <w:widowControl w:val="false"/>
              <w:suppressAutoHyphens w:val="true"/>
              <w:spacing w:lineRule="auto" w:line="240" w:before="0" w:after="0"/>
              <w:jc w:val="left"/>
              <w:rPr>
                <w:lang w:val="en-US"/>
              </w:rPr>
            </w:pPr>
            <w:r>
              <w:rPr>
                <w:lang w:val="en-US"/>
              </w:rPr>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Partners currently involved in the project</w:t>
            </w:r>
          </w:p>
        </w:tc>
        <w:tc>
          <w:tcPr>
            <w:tcW w:w="6655"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w:t>
            </w:r>
          </w:p>
        </w:tc>
      </w:tr>
    </w:tbl>
    <w:p>
      <w:pPr>
        <w:pStyle w:val="Normal"/>
        <w:rPr>
          <w:lang w:val="en-US"/>
        </w:rPr>
      </w:pPr>
      <w:r>
        <w:rPr>
          <w:lang w:val="en-US"/>
        </w:rPr>
      </w:r>
    </w:p>
    <w:p>
      <w:pPr>
        <w:pStyle w:val="Heading2"/>
        <w:rPr>
          <w:lang w:val="en-US"/>
        </w:rPr>
      </w:pPr>
      <w:r>
        <w:rPr>
          <w:lang w:val="en-US"/>
        </w:rPr>
        <w:t xml:space="preserve">Partners searched – which type of partner are you looking for? </w:t>
      </w:r>
    </w:p>
    <w:tbl>
      <w:tblPr>
        <w:tblStyle w:val="TabelacomGrelh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6655"/>
      </w:tblGrid>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From country or region</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color w:val="000000"/>
                <w:kern w:val="0"/>
                <w:szCs w:val="22"/>
                <w:lang w:val="en-US" w:eastAsia="en-US" w:bidi="ar-SA"/>
              </w:rPr>
              <w:t>We would like to find a partner from any country of Europe to ensure a diversity of partners</w:t>
            </w:r>
          </w:p>
        </w:tc>
      </w:tr>
      <w:tr>
        <w:trPr>
          <w:trHeight w:val="281" w:hRule="atLeast"/>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Preferred field of expertise</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color w:val="000000"/>
                <w:kern w:val="0"/>
                <w:sz w:val="20"/>
                <w:szCs w:val="20"/>
                <w:lang w:val="en-US" w:eastAsia="en-US" w:bidi="ar-SA"/>
              </w:rPr>
              <w:t xml:space="preserve">Cultural heritage, audience development, multimedia, interdisciplinary projects, </w:t>
            </w:r>
            <w:r>
              <w:rPr>
                <w:b w:val="false"/>
                <w:i w:val="false"/>
                <w:iCs w:val="false"/>
                <w:caps w:val="false"/>
                <w:smallCaps w:val="false"/>
                <w:color w:val="080809"/>
                <w:spacing w:val="0"/>
                <w:sz w:val="20"/>
                <w:szCs w:val="20"/>
              </w:rPr>
              <w:t>cultural tourism, art digitalization</w:t>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Please get in contact no later than</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kern w:val="0"/>
                <w:szCs w:val="22"/>
                <w:lang w:val="en-US" w:eastAsia="en-US" w:bidi="ar-SA"/>
              </w:rPr>
              <w:t>No later than 1</w:t>
            </w:r>
            <w:r>
              <w:rPr>
                <w:rFonts w:eastAsia="Calibri" w:cs=""/>
                <w:i w:val="false"/>
                <w:iCs w:val="false"/>
                <w:kern w:val="0"/>
                <w:szCs w:val="22"/>
                <w:vertAlign w:val="superscript"/>
                <w:lang w:val="en-US" w:eastAsia="en-US" w:bidi="ar-SA"/>
              </w:rPr>
              <w:t>st</w:t>
            </w:r>
            <w:r>
              <w:rPr>
                <w:rFonts w:eastAsia="Calibri" w:cs=""/>
                <w:i w:val="false"/>
                <w:iCs w:val="false"/>
                <w:kern w:val="0"/>
                <w:szCs w:val="22"/>
                <w:lang w:val="en-US" w:eastAsia="en-US" w:bidi="ar-SA"/>
              </w:rPr>
              <w:t xml:space="preserve"> of April</w:t>
            </w:r>
          </w:p>
        </w:tc>
      </w:tr>
    </w:tbl>
    <w:p>
      <w:pPr>
        <w:pStyle w:val="Heading2"/>
        <w:rPr>
          <w:lang w:val="en-US"/>
        </w:rPr>
      </w:pPr>
      <w:r>
        <w:rPr>
          <w:lang w:val="en-US"/>
        </w:rPr>
      </w:r>
    </w:p>
    <w:p>
      <w:pPr>
        <w:pStyle w:val="Heading2"/>
        <w:rPr>
          <w:lang w:val="en-US"/>
        </w:rPr>
      </w:pPr>
      <w:r>
        <w:rPr>
          <w:lang w:val="en-US"/>
        </w:rPr>
        <w:t>Projects searched – are you interested in participating in other EU projects as a partner?</w:t>
      </w:r>
    </w:p>
    <w:tbl>
      <w:tblPr>
        <w:tblStyle w:val="TabelacomGrelh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6655"/>
      </w:tblGrid>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Yes / no</w:t>
            </w:r>
          </w:p>
        </w:tc>
        <w:tc>
          <w:tcPr>
            <w:tcW w:w="6655"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Yes</w:t>
            </w:r>
          </w:p>
        </w:tc>
      </w:tr>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Which kind of projects are you looking for?</w:t>
            </w:r>
          </w:p>
        </w:tc>
        <w:tc>
          <w:tcPr>
            <w:tcW w:w="6655" w:type="dxa"/>
            <w:tcBorders/>
          </w:tcPr>
          <w:p>
            <w:pPr>
              <w:pStyle w:val="Normal"/>
              <w:widowControl w:val="false"/>
              <w:suppressAutoHyphens w:val="true"/>
              <w:spacing w:lineRule="auto" w:line="240" w:before="0" w:after="0"/>
              <w:jc w:val="left"/>
              <w:rPr>
                <w:color w:val="000000"/>
              </w:rPr>
            </w:pPr>
            <w:r>
              <w:rPr>
                <w:rFonts w:eastAsia="Calibri" w:cs=""/>
                <w:color w:val="000000"/>
                <w:kern w:val="0"/>
                <w:szCs w:val="22"/>
                <w:lang w:val="en-US" w:eastAsia="en-US" w:bidi="ar-SA"/>
              </w:rPr>
              <w:t>Related to cultural cooperation in the topics of museum accessibility</w:t>
            </w:r>
          </w:p>
        </w:tc>
      </w:tr>
    </w:tbl>
    <w:p>
      <w:pPr>
        <w:pStyle w:val="Heading2"/>
        <w:rPr>
          <w:rFonts w:eastAsia="Calibri" w:cs="" w:cstheme="minorBidi" w:eastAsiaTheme="minorHAnsi"/>
          <w:b w:val="false"/>
          <w:b w:val="false"/>
          <w:szCs w:val="22"/>
          <w:lang w:val="en-US"/>
        </w:rPr>
      </w:pPr>
      <w:r>
        <w:rPr>
          <w:rFonts w:eastAsia="Calibri" w:cs="" w:cstheme="minorBidi" w:eastAsiaTheme="minorHAnsi"/>
          <w:b w:val="false"/>
          <w:szCs w:val="22"/>
          <w:lang w:val="en-US"/>
        </w:rPr>
      </w:r>
    </w:p>
    <w:p>
      <w:pPr>
        <w:pStyle w:val="Heading2"/>
        <w:rPr>
          <w:lang w:val="en-US"/>
        </w:rPr>
      </w:pPr>
      <w:r>
        <w:rPr>
          <w:lang w:val="en-US"/>
        </w:rPr>
        <w:t>Publication of partner search</w:t>
      </w:r>
    </w:p>
    <w:tbl>
      <w:tblPr>
        <w:tblStyle w:val="TabelacomGrelh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2"/>
        <w:gridCol w:w="6655"/>
      </w:tblGrid>
      <w:tr>
        <w:trPr/>
        <w:tc>
          <w:tcPr>
            <w:tcW w:w="2972" w:type="dxa"/>
            <w:tcBorders/>
          </w:tcPr>
          <w:p>
            <w:pPr>
              <w:pStyle w:val="Normal"/>
              <w:widowControl w:val="false"/>
              <w:suppressAutoHyphens w:val="true"/>
              <w:spacing w:lineRule="auto" w:line="240" w:before="0" w:after="0"/>
              <w:jc w:val="left"/>
              <w:rPr>
                <w:lang w:val="en-US"/>
              </w:rPr>
            </w:pPr>
            <w:r>
              <w:rPr>
                <w:rFonts w:eastAsia="Calibri" w:cs=""/>
                <w:kern w:val="0"/>
                <w:szCs w:val="22"/>
                <w:lang w:val="en-US" w:eastAsia="en-US" w:bidi="ar-SA"/>
              </w:rPr>
              <w:t>This partner search can be published?*</w:t>
            </w:r>
          </w:p>
        </w:tc>
        <w:tc>
          <w:tcPr>
            <w:tcW w:w="6655" w:type="dxa"/>
            <w:tcBorders/>
          </w:tcPr>
          <w:p>
            <w:pPr>
              <w:pStyle w:val="Normal"/>
              <w:widowControl w:val="false"/>
              <w:suppressAutoHyphens w:val="true"/>
              <w:spacing w:lineRule="auto" w:line="240" w:before="0" w:after="0"/>
              <w:jc w:val="left"/>
              <w:rPr>
                <w:i w:val="false"/>
                <w:i w:val="false"/>
                <w:iCs w:val="false"/>
              </w:rPr>
            </w:pPr>
            <w:r>
              <w:rPr>
                <w:rFonts w:eastAsia="Calibri" w:cs=""/>
                <w:i w:val="false"/>
                <w:iCs w:val="false"/>
                <w:kern w:val="0"/>
                <w:szCs w:val="22"/>
                <w:lang w:val="en-US" w:eastAsia="en-US" w:bidi="ar-SA"/>
              </w:rPr>
              <w:t>Yes</w:t>
            </w:r>
          </w:p>
        </w:tc>
      </w:tr>
    </w:tbl>
    <w:p>
      <w:pPr>
        <w:pStyle w:val="Normal"/>
        <w:spacing w:before="0" w:after="160"/>
        <w:rPr>
          <w:lang w:val="en-US"/>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701" w:footer="708"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sz w:val="16"/>
        <w:szCs w:val="16"/>
        <w:lang w:val="en-US"/>
      </w:rPr>
    </w:pPr>
    <w:r>
      <w:rPr>
        <w:sz w:val="16"/>
        <w:szCs w:val="16"/>
        <w:lang w:val="en-US"/>
      </w:rPr>
      <w:t>* By answering “yes” you confirm that the information provided can be shared publicly by the Creative Europe Desks in the countries participating in the Creative Europe programme, in order to support your search for partners.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lang w:val="en-U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729740" cy="549910"/>
          <wp:effectExtent l="0" t="0" r="0" b="0"/>
          <wp:docPr id="1"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3" descr="&quot;&quot;"/>
                  <pic:cNvPicPr>
                    <a:picLocks noChangeAspect="1" noChangeArrowheads="1"/>
                  </pic:cNvPicPr>
                </pic:nvPicPr>
                <pic:blipFill>
                  <a:blip r:embed="rId1"/>
                  <a:stretch>
                    <a:fillRect/>
                  </a:stretch>
                </pic:blipFill>
                <pic:spPr bwMode="auto">
                  <a:xfrm>
                    <a:off x="0" y="0"/>
                    <a:ext cx="1729740" cy="549910"/>
                  </a:xfrm>
                  <a:prstGeom prst="rect">
                    <a:avLst/>
                  </a:prstGeom>
                </pic:spPr>
              </pic:pic>
            </a:graphicData>
          </a:graphic>
        </wp:inline>
      </w:drawing>
    </w:r>
    <w:r>
      <w:rPr/>
      <w:tab/>
      <w:tab/>
    </w:r>
    <w:r>
      <w:rPr>
        <w:lang w:val="en-US"/>
      </w:rPr>
      <w:t xml:space="preserve">Date: 08/01/2026  </w:t>
    </w:r>
  </w:p>
</w:hdr>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a-D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2a74"/>
    <w:pPr>
      <w:widowControl/>
      <w:suppressAutoHyphens w:val="true"/>
      <w:bidi w:val="0"/>
      <w:spacing w:lineRule="auto" w:line="259" w:before="0" w:after="160"/>
      <w:jc w:val="left"/>
    </w:pPr>
    <w:rPr>
      <w:rFonts w:ascii="Verdana" w:hAnsi="Verdana" w:eastAsia="Calibri" w:cs="" w:cstheme="minorBidi" w:eastAsiaTheme="minorHAnsi"/>
      <w:color w:val="auto"/>
      <w:kern w:val="0"/>
      <w:sz w:val="20"/>
      <w:szCs w:val="22"/>
      <w:lang w:val="da-DK" w:eastAsia="en-US" w:bidi="ar-SA"/>
    </w:rPr>
  </w:style>
  <w:style w:type="paragraph" w:styleId="Heading1">
    <w:name w:val="Heading 1"/>
    <w:basedOn w:val="Normal"/>
    <w:next w:val="Normal"/>
    <w:link w:val="Ttulo1Carter"/>
    <w:uiPriority w:val="9"/>
    <w:qFormat/>
    <w:rsid w:val="00542a74"/>
    <w:pPr>
      <w:keepNext w:val="true"/>
      <w:keepLines/>
      <w:spacing w:before="240" w:after="0"/>
      <w:outlineLvl w:val="0"/>
    </w:pPr>
    <w:rPr>
      <w:rFonts w:eastAsia="" w:cs="" w:cstheme="majorBidi" w:eastAsiaTheme="majorEastAsia"/>
      <w:sz w:val="40"/>
      <w:szCs w:val="32"/>
    </w:rPr>
  </w:style>
  <w:style w:type="paragraph" w:styleId="Heading2">
    <w:name w:val="Heading 2"/>
    <w:basedOn w:val="Normal"/>
    <w:next w:val="Normal"/>
    <w:link w:val="Ttulo2Carter"/>
    <w:uiPriority w:val="9"/>
    <w:unhideWhenUsed/>
    <w:qFormat/>
    <w:rsid w:val="006a2fe9"/>
    <w:pPr>
      <w:keepNext w:val="true"/>
      <w:keepLines/>
      <w:spacing w:before="40" w:after="0"/>
      <w:outlineLvl w:val="1"/>
    </w:pPr>
    <w:rPr>
      <w:rFonts w:eastAsia="" w:cs="" w:cstheme="majorBidi" w:eastAsiaTheme="majorEastAsia"/>
      <w:b/>
      <w:szCs w:val="26"/>
    </w:rPr>
  </w:style>
  <w:style w:type="character" w:styleId="DefaultParagraphFont" w:default="1">
    <w:name w:val="Default Paragraph Font"/>
    <w:uiPriority w:val="1"/>
    <w:semiHidden/>
    <w:unhideWhenUsed/>
    <w:qFormat/>
    <w:rPr/>
  </w:style>
  <w:style w:type="character" w:styleId="CabealhoCarter" w:customStyle="1">
    <w:name w:val="Cabeçalho Caráter"/>
    <w:basedOn w:val="DefaultParagraphFont"/>
    <w:uiPriority w:val="99"/>
    <w:qFormat/>
    <w:rsid w:val="00473c16"/>
    <w:rPr/>
  </w:style>
  <w:style w:type="character" w:styleId="RodapCarter" w:customStyle="1">
    <w:name w:val="Rodapé Caráter"/>
    <w:basedOn w:val="DefaultParagraphFont"/>
    <w:uiPriority w:val="99"/>
    <w:qFormat/>
    <w:rsid w:val="00473c16"/>
    <w:rPr/>
  </w:style>
  <w:style w:type="character" w:styleId="Ttulo1Carter" w:customStyle="1">
    <w:name w:val="Título 1 Caráter"/>
    <w:basedOn w:val="DefaultParagraphFont"/>
    <w:uiPriority w:val="9"/>
    <w:qFormat/>
    <w:rsid w:val="00542a74"/>
    <w:rPr>
      <w:rFonts w:ascii="Verdana" w:hAnsi="Verdana" w:eastAsia="" w:cs="" w:cstheme="majorBidi" w:eastAsiaTheme="majorEastAsia"/>
      <w:sz w:val="40"/>
      <w:szCs w:val="32"/>
    </w:rPr>
  </w:style>
  <w:style w:type="character" w:styleId="Ttulo2Carter" w:customStyle="1">
    <w:name w:val="Título 2 Caráter"/>
    <w:basedOn w:val="DefaultParagraphFont"/>
    <w:uiPriority w:val="9"/>
    <w:qFormat/>
    <w:rsid w:val="006a2fe9"/>
    <w:rPr>
      <w:rFonts w:ascii="Verdana" w:hAnsi="Verdana" w:eastAsia="" w:cs="" w:cstheme="majorBidi" w:eastAsiaTheme="majorEastAsia"/>
      <w:b/>
      <w:sz w:val="20"/>
      <w:szCs w:val="26"/>
    </w:rPr>
  </w:style>
  <w:style w:type="character" w:styleId="InternetLink">
    <w:name w:val="Hyperlink"/>
    <w:basedOn w:val="DefaultParagraphFont"/>
    <w:uiPriority w:val="99"/>
    <w:unhideWhenUsed/>
    <w:rsid w:val="00cb7442"/>
    <w:rPr>
      <w:color w:val="0563C1" w:themeColor="hyperlink"/>
      <w:u w:val="single"/>
    </w:rPr>
  </w:style>
  <w:style w:type="character" w:styleId="TextodebaloCarter" w:customStyle="1">
    <w:name w:val="Texto de balão Caráter"/>
    <w:basedOn w:val="DefaultParagraphFont"/>
    <w:link w:val="BalloonText"/>
    <w:uiPriority w:val="99"/>
    <w:semiHidden/>
    <w:qFormat/>
    <w:rsid w:val="00501853"/>
    <w:rPr>
      <w:rFonts w:ascii="Segoe UI" w:hAnsi="Segoe UI" w:cs="Segoe UI"/>
      <w:sz w:val="18"/>
      <w:szCs w:val="18"/>
    </w:rPr>
  </w:style>
  <w:style w:type="character" w:styleId="Strong">
    <w:name w:val="Strong"/>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Antrat">
    <w:name w:val="Antraštė"/>
    <w:basedOn w:val="Normal"/>
    <w:next w:val="TextBody"/>
    <w:qFormat/>
    <w:pPr>
      <w:keepNext w:val="true"/>
      <w:spacing w:before="240" w:after="120"/>
    </w:pPr>
    <w:rPr>
      <w:rFonts w:ascii="Liberation Sans" w:hAnsi="Liberation Sans" w:eastAsia="Microsoft YaHei" w:cs="Lucida Sans"/>
      <w:sz w:val="28"/>
      <w:szCs w:val="28"/>
    </w:rPr>
  </w:style>
  <w:style w:type="paragraph" w:styleId="Caption1">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CabealhoCarter"/>
    <w:uiPriority w:val="99"/>
    <w:unhideWhenUsed/>
    <w:rsid w:val="00473c16"/>
    <w:pPr>
      <w:tabs>
        <w:tab w:val="clear" w:pos="1304"/>
        <w:tab w:val="center" w:pos="4819" w:leader="none"/>
        <w:tab w:val="right" w:pos="9638" w:leader="none"/>
      </w:tabs>
      <w:spacing w:lineRule="auto" w:line="240" w:before="0" w:after="0"/>
    </w:pPr>
    <w:rPr/>
  </w:style>
  <w:style w:type="paragraph" w:styleId="Footer">
    <w:name w:val="Footer"/>
    <w:basedOn w:val="Normal"/>
    <w:link w:val="RodapCarter"/>
    <w:uiPriority w:val="99"/>
    <w:unhideWhenUsed/>
    <w:rsid w:val="00473c16"/>
    <w:pPr>
      <w:tabs>
        <w:tab w:val="clear" w:pos="1304"/>
        <w:tab w:val="center" w:pos="4819" w:leader="none"/>
        <w:tab w:val="right" w:pos="9638" w:leader="none"/>
      </w:tabs>
      <w:spacing w:lineRule="auto" w:line="240" w:before="0" w:after="0"/>
    </w:pPr>
    <w:rPr/>
  </w:style>
  <w:style w:type="paragraph" w:styleId="BalloonText">
    <w:name w:val="Balloon Text"/>
    <w:basedOn w:val="Normal"/>
    <w:link w:val="TextodebaloCarter"/>
    <w:uiPriority w:val="99"/>
    <w:semiHidden/>
    <w:unhideWhenUsed/>
    <w:qFormat/>
    <w:rsid w:val="00501853"/>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elha">
    <w:name w:val="Table Grid"/>
    <w:basedOn w:val="Tabelanormal"/>
    <w:uiPriority w:val="39"/>
    <w:rsid w:val="00fc4a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tema">
  <a:themeElements>
    <a:clrScheme name="Kont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9" ma:contentTypeDescription="Create a new document." ma:contentTypeScope="" ma:versionID="f8670b254aaadb71e39fbb1a6c4ea303">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c3c230dc0e1f89b59706f5ef54f2c5b1"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25D16-36A0-4530-B186-76E95128F8A7}"/>
</file>

<file path=customXml/itemProps2.xml><?xml version="1.0" encoding="utf-8"?>
<ds:datastoreItem xmlns:ds="http://schemas.openxmlformats.org/officeDocument/2006/customXml" ds:itemID="{AFA746B0-4578-41AC-835E-8E5E7237C062}"/>
</file>

<file path=customXml/itemProps3.xml><?xml version="1.0" encoding="utf-8"?>
<ds:datastoreItem xmlns:ds="http://schemas.openxmlformats.org/officeDocument/2006/customXml" ds:itemID="{C726C741-5BCC-4A31-A916-862CD7F65C57}"/>
</file>

<file path=docProps/app.xml><?xml version="1.0" encoding="utf-8"?>
<Properties xmlns="http://schemas.openxmlformats.org/officeDocument/2006/extended-properties" xmlns:vt="http://schemas.openxmlformats.org/officeDocument/2006/docPropsVTypes">
  <Template>Normal</Template>
  <TotalTime>221</TotalTime>
  <Application>LibreOffice/7.4.1.2$Windows_X86_64 LibreOffice_project/3c58a8f3a960df8bc8fd77b461821e42c061c5f0</Application>
  <AppVersion>15.0000</AppVersion>
  <Pages>2</Pages>
  <Words>467</Words>
  <Characters>2959</Characters>
  <CharactersWithSpaces>3386</CharactersWithSpaces>
  <Paragraphs>55</Paragraphs>
  <Company>Statens 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dc:description/>
  <cp:lastModifiedBy/>
  <cp:revision>19</cp:revision>
  <dcterms:created xsi:type="dcterms:W3CDTF">2020-01-13T11:34:00Z</dcterms:created>
  <dcterms:modified xsi:type="dcterms:W3CDTF">2026-01-08T14:32:15Z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