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4" w:rsidRPr="00D60103" w:rsidRDefault="006773F4" w:rsidP="006773F4">
      <w:pPr>
        <w:jc w:val="center"/>
        <w:rPr>
          <w:sz w:val="28"/>
          <w:szCs w:val="28"/>
          <w:lang w:val="lv-LV"/>
        </w:rPr>
      </w:pPr>
    </w:p>
    <w:p w:rsidR="006773F4" w:rsidRPr="00D60103" w:rsidRDefault="006773F4" w:rsidP="006773F4">
      <w:pPr>
        <w:pStyle w:val="Virsraksts1"/>
      </w:pPr>
      <w:r w:rsidRPr="00D60103">
        <w:rPr>
          <w:noProof/>
          <w:lang w:eastAsia="lv-LV"/>
        </w:rPr>
        <w:drawing>
          <wp:inline distT="0" distB="0" distL="0" distR="0">
            <wp:extent cx="1376045" cy="914400"/>
            <wp:effectExtent l="19050" t="0" r="0" b="0"/>
            <wp:docPr id="1" name="Attēls 6" descr="U:\ES_fondi\ESStrukturfondi\ETVVIF\ETVVIF_KM_no_01.04.2011\Logo_ES kar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 descr="U:\ES_fondi\ESStrukturfondi\ETVVIF\ETVVIF_KM_no_01.04.2011\Logo_ES karog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CBF">
        <w:rPr>
          <w:noProof/>
          <w:lang w:eastAsia="lv-LV"/>
        </w:rPr>
        <w:t xml:space="preserve">             </w:t>
      </w:r>
      <w:r w:rsidR="004A2956" w:rsidRPr="004A2956">
        <w:rPr>
          <w:noProof/>
          <w:lang w:eastAsia="lv-LV"/>
        </w:rPr>
        <w:drawing>
          <wp:inline distT="0" distB="0" distL="0" distR="0">
            <wp:extent cx="1094132" cy="1009949"/>
            <wp:effectExtent l="19050" t="0" r="0" b="0"/>
            <wp:docPr id="5" name="Attēls 8" descr="P:\LOGO\45_Kulturas_ministrija\45_identitate\45_jpg\45_horizontala_vienkarss_LV\vienkrsu_cmyk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LOGO\45_Kulturas_ministrija\45_identitate\45_jpg\45_horizontala_vienkarss_LV\vienkrsu_cmyk-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10" cy="10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CBF">
        <w:rPr>
          <w:noProof/>
          <w:lang w:eastAsia="lv-LV"/>
        </w:rPr>
        <w:t xml:space="preserve">     </w:t>
      </w:r>
    </w:p>
    <w:p w:rsidR="006773F4" w:rsidRPr="00D60103" w:rsidRDefault="006773F4" w:rsidP="006773F4">
      <w:pPr>
        <w:jc w:val="center"/>
        <w:rPr>
          <w:b/>
          <w:noProof/>
          <w:sz w:val="28"/>
          <w:szCs w:val="28"/>
          <w:lang w:val="lv-LV" w:eastAsia="lv-LV"/>
        </w:rPr>
      </w:pPr>
    </w:p>
    <w:p w:rsidR="006773F4" w:rsidRPr="00D60103" w:rsidRDefault="006773F4" w:rsidP="006773F4">
      <w:pPr>
        <w:jc w:val="center"/>
        <w:rPr>
          <w:sz w:val="28"/>
          <w:szCs w:val="28"/>
          <w:lang w:val="lv-LV"/>
        </w:rPr>
      </w:pPr>
    </w:p>
    <w:p w:rsidR="006773F4" w:rsidRPr="00D60103" w:rsidRDefault="006773F4" w:rsidP="006773F4">
      <w:pPr>
        <w:jc w:val="center"/>
        <w:rPr>
          <w:sz w:val="28"/>
          <w:szCs w:val="28"/>
          <w:lang w:val="lv-LV"/>
        </w:rPr>
      </w:pPr>
    </w:p>
    <w:p w:rsidR="00BD2EF2" w:rsidRPr="004A2956" w:rsidRDefault="00F71CBF" w:rsidP="006773F4">
      <w:pPr>
        <w:jc w:val="center"/>
        <w:rPr>
          <w:b/>
          <w:sz w:val="32"/>
          <w:szCs w:val="28"/>
          <w:lang w:val="lv-LV"/>
        </w:rPr>
      </w:pPr>
      <w:r w:rsidRPr="004A2956">
        <w:rPr>
          <w:b/>
          <w:sz w:val="32"/>
          <w:szCs w:val="28"/>
          <w:lang w:val="lv-LV"/>
        </w:rPr>
        <w:t xml:space="preserve">Kultūras ministrijas kā </w:t>
      </w:r>
      <w:r w:rsidR="004A2956" w:rsidRPr="004A2956">
        <w:rPr>
          <w:b/>
          <w:sz w:val="32"/>
          <w:szCs w:val="28"/>
          <w:lang w:val="lv-LV"/>
        </w:rPr>
        <w:t>Patvēruma, migrācijas un integrācijas f</w:t>
      </w:r>
      <w:r w:rsidRPr="004A2956">
        <w:rPr>
          <w:b/>
          <w:sz w:val="32"/>
          <w:szCs w:val="28"/>
          <w:lang w:val="lv-LV"/>
        </w:rPr>
        <w:t xml:space="preserve">onda </w:t>
      </w:r>
      <w:r w:rsidR="004A2956" w:rsidRPr="004A2956">
        <w:rPr>
          <w:b/>
          <w:sz w:val="32"/>
          <w:szCs w:val="28"/>
          <w:lang w:val="lv-LV"/>
        </w:rPr>
        <w:t>deleģētās</w:t>
      </w:r>
      <w:r w:rsidRPr="004A2956">
        <w:rPr>
          <w:b/>
          <w:sz w:val="32"/>
          <w:szCs w:val="28"/>
          <w:lang w:val="lv-LV"/>
        </w:rPr>
        <w:t xml:space="preserve"> iestādes ieteikumi </w:t>
      </w:r>
      <w:r w:rsidR="004A2956">
        <w:rPr>
          <w:b/>
          <w:sz w:val="32"/>
          <w:szCs w:val="28"/>
          <w:lang w:val="lv-LV"/>
        </w:rPr>
        <w:t xml:space="preserve">projektu īstenotājiem </w:t>
      </w:r>
      <w:r w:rsidRPr="004A2956">
        <w:rPr>
          <w:b/>
          <w:sz w:val="32"/>
          <w:szCs w:val="28"/>
          <w:lang w:val="lv-LV"/>
        </w:rPr>
        <w:t xml:space="preserve">projekta </w:t>
      </w:r>
      <w:r w:rsidR="004A2956">
        <w:rPr>
          <w:b/>
          <w:sz w:val="32"/>
          <w:szCs w:val="28"/>
          <w:lang w:val="lv-LV"/>
        </w:rPr>
        <w:t>dalībnieku atbilstības fonda mērķa grupai</w:t>
      </w:r>
      <w:r w:rsidRPr="004A2956">
        <w:rPr>
          <w:b/>
          <w:sz w:val="32"/>
          <w:szCs w:val="28"/>
          <w:lang w:val="lv-LV"/>
        </w:rPr>
        <w:t xml:space="preserve"> pārbaudei</w:t>
      </w:r>
    </w:p>
    <w:p w:rsidR="006773F4" w:rsidRPr="00D60103" w:rsidRDefault="006773F4" w:rsidP="006773F4">
      <w:pPr>
        <w:jc w:val="center"/>
        <w:rPr>
          <w:sz w:val="28"/>
          <w:szCs w:val="28"/>
          <w:lang w:val="lv-LV"/>
        </w:rPr>
      </w:pPr>
    </w:p>
    <w:p w:rsidR="006773F4" w:rsidRPr="00D60103" w:rsidRDefault="006773F4" w:rsidP="006773F4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</w:p>
    <w:p w:rsidR="006773F4" w:rsidRPr="00E86497" w:rsidRDefault="00E86497" w:rsidP="00E86497">
      <w:pPr>
        <w:jc w:val="both"/>
        <w:rPr>
          <w:sz w:val="28"/>
          <w:szCs w:val="28"/>
          <w:lang w:val="lv-LV"/>
        </w:rPr>
      </w:pPr>
      <w:r w:rsidRPr="00E86497">
        <w:rPr>
          <w:sz w:val="28"/>
          <w:szCs w:val="28"/>
          <w:lang w:val="lv-LV"/>
        </w:rPr>
        <w:t xml:space="preserve">Patvēruma, migrācijas un integrācijas </w:t>
      </w:r>
      <w:r w:rsidR="00F71CBF" w:rsidRPr="00E86497">
        <w:rPr>
          <w:sz w:val="28"/>
          <w:szCs w:val="28"/>
          <w:lang w:val="lv-LV"/>
        </w:rPr>
        <w:t xml:space="preserve">fonda </w:t>
      </w:r>
      <w:r w:rsidR="00F71CBF" w:rsidRPr="00E86497">
        <w:rPr>
          <w:b/>
          <w:sz w:val="28"/>
          <w:szCs w:val="28"/>
          <w:lang w:val="lv-LV"/>
        </w:rPr>
        <w:t xml:space="preserve">mērķa grupa </w:t>
      </w:r>
      <w:bookmarkStart w:id="0" w:name="_GoBack"/>
      <w:r w:rsidRPr="00E86497">
        <w:rPr>
          <w:b/>
          <w:sz w:val="28"/>
          <w:szCs w:val="28"/>
          <w:lang w:val="lv-LV"/>
        </w:rPr>
        <w:t xml:space="preserve">ir </w:t>
      </w:r>
      <w:r w:rsidRPr="00E86497">
        <w:rPr>
          <w:iCs/>
          <w:sz w:val="28"/>
          <w:szCs w:val="28"/>
          <w:lang w:val="lv-LV"/>
        </w:rPr>
        <w:t>personas, kurām nepieciešama starptautiskā aizsardzība</w:t>
      </w:r>
      <w:bookmarkEnd w:id="0"/>
      <w:r w:rsidRPr="00E86497">
        <w:rPr>
          <w:sz w:val="28"/>
          <w:szCs w:val="28"/>
          <w:lang w:val="lv-LV"/>
        </w:rPr>
        <w:t xml:space="preserve"> – </w:t>
      </w:r>
      <w:r w:rsidRPr="00E86497">
        <w:rPr>
          <w:b/>
          <w:sz w:val="28"/>
          <w:szCs w:val="28"/>
          <w:lang w:val="lv-LV"/>
        </w:rPr>
        <w:t>bēgļi, personas, kurām piešķirts alternatīvais statuss, patvēruma meklētāji</w:t>
      </w:r>
      <w:r w:rsidRPr="00E86497">
        <w:rPr>
          <w:sz w:val="28"/>
          <w:szCs w:val="28"/>
          <w:lang w:val="lv-LV"/>
        </w:rPr>
        <w:t xml:space="preserve"> un </w:t>
      </w:r>
      <w:r w:rsidRPr="00E86497">
        <w:rPr>
          <w:b/>
          <w:iCs/>
          <w:sz w:val="28"/>
          <w:szCs w:val="28"/>
          <w:lang w:val="lv-LV"/>
        </w:rPr>
        <w:t xml:space="preserve">trešo valstu pilsoņi, </w:t>
      </w:r>
      <w:r w:rsidRPr="00E86497">
        <w:rPr>
          <w:b/>
          <w:sz w:val="28"/>
          <w:szCs w:val="28"/>
          <w:lang w:val="lv-LV"/>
        </w:rPr>
        <w:t>kuri likumīgi uzturas Latvijas teritorijā</w:t>
      </w:r>
      <w:r w:rsidR="00F71CBF" w:rsidRPr="00E86497">
        <w:rPr>
          <w:sz w:val="28"/>
          <w:szCs w:val="28"/>
          <w:lang w:val="lv-LV"/>
        </w:rPr>
        <w:t xml:space="preserve">. </w:t>
      </w:r>
    </w:p>
    <w:p w:rsidR="006773F4" w:rsidRPr="00E86497" w:rsidRDefault="006773F4" w:rsidP="006773F4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</w:p>
    <w:p w:rsidR="006773F4" w:rsidRDefault="00F71CBF" w:rsidP="006773F4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  <w:r w:rsidRPr="00E86497">
        <w:rPr>
          <w:sz w:val="28"/>
          <w:szCs w:val="28"/>
          <w:lang w:val="lv-LV"/>
        </w:rPr>
        <w:t>Piesaistot mērķa grupas dalībniekus projektā (apmācībās, nometnēs, projekta integrācijas pasākumos u.c.), to at</w:t>
      </w:r>
      <w:r w:rsidR="00E86497">
        <w:rPr>
          <w:sz w:val="28"/>
          <w:szCs w:val="28"/>
          <w:lang w:val="lv-LV"/>
        </w:rPr>
        <w:t>bilstības pārbaudei nepieciešams</w:t>
      </w:r>
      <w:r w:rsidRPr="00E86497">
        <w:rPr>
          <w:sz w:val="28"/>
          <w:szCs w:val="28"/>
          <w:lang w:val="lv-LV"/>
        </w:rPr>
        <w:t xml:space="preserve"> </w:t>
      </w:r>
      <w:r w:rsidR="00E86497">
        <w:rPr>
          <w:sz w:val="28"/>
          <w:szCs w:val="28"/>
          <w:lang w:val="lv-LV"/>
        </w:rPr>
        <w:t>pārbaudīt šādus dokumentus</w:t>
      </w:r>
      <w:r w:rsidRPr="00E86497">
        <w:rPr>
          <w:sz w:val="28"/>
          <w:szCs w:val="28"/>
          <w:lang w:val="lv-LV"/>
        </w:rPr>
        <w:t>:</w:t>
      </w:r>
    </w:p>
    <w:p w:rsidR="00E86497" w:rsidRDefault="00E86497" w:rsidP="006773F4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</w:p>
    <w:p w:rsidR="00E86497" w:rsidRDefault="00E86497" w:rsidP="006773F4">
      <w:pPr>
        <w:tabs>
          <w:tab w:val="left" w:pos="567"/>
        </w:tabs>
        <w:autoSpaceDE w:val="0"/>
        <w:autoSpaceDN w:val="0"/>
        <w:jc w:val="both"/>
        <w:rPr>
          <w:sz w:val="28"/>
          <w:lang w:val="lv-LV"/>
        </w:rPr>
      </w:pPr>
      <w:r>
        <w:rPr>
          <w:b/>
          <w:sz w:val="28"/>
          <w:szCs w:val="28"/>
          <w:lang w:val="lv-LV"/>
        </w:rPr>
        <w:t xml:space="preserve">Bēgļiem: </w:t>
      </w:r>
      <w:r w:rsidRPr="00E86497">
        <w:rPr>
          <w:sz w:val="28"/>
          <w:u w:val="single"/>
          <w:lang w:val="lv-LV"/>
        </w:rPr>
        <w:t>pastāvīgā uzturēšanās atļauja</w:t>
      </w:r>
      <w:r w:rsidRPr="00E86497">
        <w:rPr>
          <w:sz w:val="28"/>
          <w:lang w:val="lv-LV"/>
        </w:rPr>
        <w:t xml:space="preserve"> un </w:t>
      </w:r>
      <w:r w:rsidRPr="00E86497">
        <w:rPr>
          <w:sz w:val="28"/>
          <w:u w:val="single"/>
          <w:lang w:val="lv-LV"/>
        </w:rPr>
        <w:t>ceļošanas dokuments</w:t>
      </w:r>
      <w:r w:rsidRPr="00E86497">
        <w:rPr>
          <w:sz w:val="28"/>
          <w:lang w:val="lv-LV"/>
        </w:rPr>
        <w:t>, kas vienlaikus ir arī personu apliecinošs dokuments;</w:t>
      </w:r>
    </w:p>
    <w:p w:rsidR="00E86497" w:rsidRDefault="00E86497" w:rsidP="006773F4">
      <w:pPr>
        <w:tabs>
          <w:tab w:val="left" w:pos="567"/>
        </w:tabs>
        <w:autoSpaceDE w:val="0"/>
        <w:autoSpaceDN w:val="0"/>
        <w:jc w:val="both"/>
        <w:rPr>
          <w:lang w:val="lv-LV"/>
        </w:rPr>
      </w:pPr>
    </w:p>
    <w:p w:rsidR="00E86497" w:rsidRDefault="00E86497" w:rsidP="006773F4">
      <w:pPr>
        <w:tabs>
          <w:tab w:val="left" w:pos="567"/>
        </w:tabs>
        <w:autoSpaceDE w:val="0"/>
        <w:autoSpaceDN w:val="0"/>
        <w:jc w:val="both"/>
        <w:rPr>
          <w:i/>
          <w:sz w:val="28"/>
          <w:lang w:val="lv-LV"/>
        </w:rPr>
      </w:pPr>
      <w:r w:rsidRPr="00E86497">
        <w:rPr>
          <w:b/>
          <w:sz w:val="28"/>
          <w:lang w:val="lv-LV"/>
        </w:rPr>
        <w:t>Personām ar alternatīvo statusu:</w:t>
      </w:r>
      <w:r>
        <w:rPr>
          <w:b/>
          <w:lang w:val="lv-LV"/>
        </w:rPr>
        <w:t xml:space="preserve"> </w:t>
      </w:r>
      <w:r w:rsidRPr="002C11F4">
        <w:rPr>
          <w:sz w:val="28"/>
          <w:u w:val="single"/>
          <w:lang w:val="lv-LV"/>
        </w:rPr>
        <w:t>Termiņuzturēšanās atļauja un personu apliecinošs dokuments vai ceļošanas dokuments</w:t>
      </w:r>
      <w:r w:rsidRPr="002C11F4">
        <w:rPr>
          <w:sz w:val="28"/>
          <w:lang w:val="lv-LV"/>
        </w:rPr>
        <w:t>. (Ja personai, kurai piešķirts alternatīvais statuss, nav derīga personu apliecinoša un ceļošanas dokumenta, tai izsniedz ceļošanas dokumentu);</w:t>
      </w:r>
    </w:p>
    <w:p w:rsidR="00E86497" w:rsidRDefault="00E86497" w:rsidP="006773F4">
      <w:pPr>
        <w:tabs>
          <w:tab w:val="left" w:pos="567"/>
        </w:tabs>
        <w:autoSpaceDE w:val="0"/>
        <w:autoSpaceDN w:val="0"/>
        <w:jc w:val="both"/>
        <w:rPr>
          <w:i/>
          <w:sz w:val="28"/>
          <w:lang w:val="lv-LV"/>
        </w:rPr>
      </w:pPr>
    </w:p>
    <w:p w:rsidR="00E86497" w:rsidRPr="002C11F4" w:rsidRDefault="00E86497" w:rsidP="006773F4">
      <w:pPr>
        <w:tabs>
          <w:tab w:val="left" w:pos="567"/>
        </w:tabs>
        <w:autoSpaceDE w:val="0"/>
        <w:autoSpaceDN w:val="0"/>
        <w:jc w:val="both"/>
        <w:rPr>
          <w:b/>
          <w:sz w:val="32"/>
          <w:lang w:val="lv-LV"/>
        </w:rPr>
      </w:pPr>
      <w:r>
        <w:rPr>
          <w:b/>
          <w:sz w:val="28"/>
          <w:lang w:val="lv-LV"/>
        </w:rPr>
        <w:t xml:space="preserve">Patvēruma meklētājiem: </w:t>
      </w:r>
      <w:r w:rsidR="002C11F4" w:rsidRPr="002C11F4">
        <w:rPr>
          <w:sz w:val="28"/>
          <w:lang w:val="lv-LV"/>
        </w:rPr>
        <w:t>Valsts robežsardze</w:t>
      </w:r>
      <w:r w:rsidR="002C11F4">
        <w:rPr>
          <w:sz w:val="28"/>
          <w:lang w:val="lv-LV"/>
        </w:rPr>
        <w:t>s</w:t>
      </w:r>
      <w:r w:rsidR="002C11F4" w:rsidRPr="002C11F4">
        <w:rPr>
          <w:sz w:val="28"/>
          <w:lang w:val="lv-LV"/>
        </w:rPr>
        <w:t xml:space="preserve"> </w:t>
      </w:r>
      <w:r w:rsidR="002C11F4">
        <w:rPr>
          <w:sz w:val="28"/>
          <w:lang w:val="lv-LV"/>
        </w:rPr>
        <w:t>izsniegts</w:t>
      </w:r>
      <w:r w:rsidR="002C11F4" w:rsidRPr="002C11F4">
        <w:rPr>
          <w:sz w:val="28"/>
          <w:lang w:val="lv-LV"/>
        </w:rPr>
        <w:t xml:space="preserve"> </w:t>
      </w:r>
      <w:r w:rsidR="002C11F4" w:rsidRPr="002C11F4">
        <w:rPr>
          <w:sz w:val="28"/>
          <w:u w:val="single"/>
          <w:lang w:val="lv-LV"/>
        </w:rPr>
        <w:t>patvēruma meklētāja personas dokuments</w:t>
      </w:r>
    </w:p>
    <w:p w:rsidR="00E86497" w:rsidRDefault="00E86497" w:rsidP="006773F4">
      <w:pPr>
        <w:tabs>
          <w:tab w:val="left" w:pos="567"/>
        </w:tabs>
        <w:autoSpaceDE w:val="0"/>
        <w:autoSpaceDN w:val="0"/>
        <w:jc w:val="both"/>
        <w:rPr>
          <w:sz w:val="32"/>
          <w:szCs w:val="28"/>
          <w:lang w:val="lv-LV"/>
        </w:rPr>
      </w:pPr>
    </w:p>
    <w:p w:rsidR="006773F4" w:rsidRPr="002C11F4" w:rsidRDefault="00E86497" w:rsidP="002C11F4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u w:val="single"/>
          <w:lang w:val="lv-LV"/>
        </w:rPr>
      </w:pPr>
      <w:r>
        <w:rPr>
          <w:b/>
          <w:sz w:val="32"/>
          <w:szCs w:val="28"/>
          <w:lang w:val="lv-LV"/>
        </w:rPr>
        <w:t xml:space="preserve">Trešo valstu pilsoņiem: </w:t>
      </w:r>
      <w:r w:rsidR="002C11F4" w:rsidRPr="002C11F4">
        <w:rPr>
          <w:sz w:val="28"/>
          <w:szCs w:val="28"/>
          <w:u w:val="single"/>
          <w:lang w:val="lv-LV"/>
        </w:rPr>
        <w:t xml:space="preserve">Personu apliecinošs </w:t>
      </w:r>
      <w:r w:rsidR="002C11F4">
        <w:rPr>
          <w:sz w:val="28"/>
          <w:szCs w:val="28"/>
          <w:u w:val="single"/>
          <w:lang w:val="lv-LV"/>
        </w:rPr>
        <w:t>dok</w:t>
      </w:r>
      <w:r w:rsidR="002C11F4" w:rsidRPr="002C11F4">
        <w:rPr>
          <w:sz w:val="28"/>
          <w:szCs w:val="28"/>
          <w:u w:val="single"/>
          <w:lang w:val="lv-LV"/>
        </w:rPr>
        <w:t>uments un t</w:t>
      </w:r>
      <w:r w:rsidR="00F71CBF" w:rsidRPr="002C11F4">
        <w:rPr>
          <w:sz w:val="28"/>
          <w:szCs w:val="28"/>
          <w:u w:val="single"/>
          <w:lang w:val="lv-LV"/>
        </w:rPr>
        <w:t>ermiņuzturēšanās atļauja</w:t>
      </w:r>
    </w:p>
    <w:p w:rsidR="002C11F4" w:rsidRPr="002C11F4" w:rsidRDefault="002C11F4" w:rsidP="002C11F4">
      <w:pPr>
        <w:tabs>
          <w:tab w:val="left" w:pos="567"/>
        </w:tabs>
        <w:autoSpaceDE w:val="0"/>
        <w:autoSpaceDN w:val="0"/>
        <w:jc w:val="both"/>
        <w:rPr>
          <w:b/>
          <w:sz w:val="28"/>
          <w:szCs w:val="28"/>
          <w:lang w:val="lv-LV"/>
        </w:rPr>
      </w:pPr>
    </w:p>
    <w:p w:rsidR="002C11F4" w:rsidRDefault="00F71CBF" w:rsidP="006773F4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  <w:r w:rsidRPr="00E86497">
        <w:rPr>
          <w:sz w:val="28"/>
          <w:szCs w:val="28"/>
          <w:lang w:val="lv-LV"/>
        </w:rPr>
        <w:t>Veicot mērķa grupas pārbaudi, lūdzam veikt</w:t>
      </w:r>
      <w:r w:rsidR="002C11F4">
        <w:rPr>
          <w:sz w:val="28"/>
          <w:szCs w:val="28"/>
          <w:lang w:val="lv-LV"/>
        </w:rPr>
        <w:t>:</w:t>
      </w:r>
    </w:p>
    <w:p w:rsidR="002C11F4" w:rsidRDefault="002C11F4" w:rsidP="006773F4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1)</w:t>
      </w:r>
      <w:r w:rsidR="00F71CBF" w:rsidRPr="00E86497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katra projekta dalībnieka personu apliecinošā dokumenta</w:t>
      </w:r>
      <w:r w:rsidR="00F71CBF" w:rsidRPr="00E86497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un dokumenta, kurš apliecina, ka persona likumīgi uzturas Latvijas teritorijā dokumenta pārbaudi;</w:t>
      </w:r>
    </w:p>
    <w:p w:rsidR="00C73152" w:rsidRDefault="002C11F4" w:rsidP="00A6408C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2) </w:t>
      </w:r>
      <w:r w:rsidR="00F71CBF" w:rsidRPr="00E86497">
        <w:rPr>
          <w:sz w:val="28"/>
          <w:szCs w:val="28"/>
          <w:lang w:val="lv-LV"/>
        </w:rPr>
        <w:t xml:space="preserve">dokumentēt </w:t>
      </w:r>
      <w:r>
        <w:rPr>
          <w:sz w:val="28"/>
          <w:szCs w:val="28"/>
          <w:lang w:val="lv-LV"/>
        </w:rPr>
        <w:t xml:space="preserve">dokumentu pārbaudes veikšanu </w:t>
      </w:r>
      <w:r w:rsidR="00F71CBF" w:rsidRPr="00E86497">
        <w:rPr>
          <w:sz w:val="28"/>
          <w:szCs w:val="28"/>
          <w:lang w:val="lv-LV"/>
        </w:rPr>
        <w:t xml:space="preserve">tiktāl, cik to pieļauj Fizisko personu datu aizsardzības likumā minētās prasības, iekārtojot projekta dalībnieku </w:t>
      </w:r>
      <w:r w:rsidRPr="00E86497">
        <w:rPr>
          <w:sz w:val="28"/>
          <w:szCs w:val="28"/>
          <w:lang w:val="lv-LV"/>
        </w:rPr>
        <w:t xml:space="preserve">mērķa grupas </w:t>
      </w:r>
      <w:r>
        <w:rPr>
          <w:sz w:val="28"/>
          <w:szCs w:val="28"/>
          <w:lang w:val="lv-LV"/>
        </w:rPr>
        <w:t xml:space="preserve">pārbaudes </w:t>
      </w:r>
      <w:r w:rsidR="00F71CBF" w:rsidRPr="00E86497">
        <w:rPr>
          <w:sz w:val="28"/>
          <w:szCs w:val="28"/>
          <w:lang w:val="lv-LV"/>
        </w:rPr>
        <w:t>reģistru vai kā citādi dokumentējot persona</w:t>
      </w:r>
      <w:r>
        <w:rPr>
          <w:sz w:val="28"/>
          <w:szCs w:val="28"/>
          <w:lang w:val="lv-LV"/>
        </w:rPr>
        <w:t>s atbilstības Fonda mērķa grupai pārbaudi.</w:t>
      </w:r>
      <w:r w:rsidR="00C73152">
        <w:rPr>
          <w:sz w:val="28"/>
          <w:szCs w:val="28"/>
          <w:lang w:val="lv-LV"/>
        </w:rPr>
        <w:t xml:space="preserve"> </w:t>
      </w:r>
    </w:p>
    <w:p w:rsidR="00C73152" w:rsidRDefault="00C73152" w:rsidP="00A6408C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</w:p>
    <w:p w:rsidR="00C73152" w:rsidRPr="00C73152" w:rsidRDefault="00C73152" w:rsidP="00A6408C">
      <w:pPr>
        <w:tabs>
          <w:tab w:val="left" w:pos="567"/>
        </w:tabs>
        <w:autoSpaceDE w:val="0"/>
        <w:autoSpaceDN w:val="0"/>
        <w:jc w:val="both"/>
        <w:rPr>
          <w:i/>
          <w:sz w:val="28"/>
          <w:szCs w:val="28"/>
          <w:u w:val="single"/>
          <w:lang w:val="lv-LV"/>
        </w:rPr>
      </w:pPr>
      <w:r>
        <w:rPr>
          <w:i/>
          <w:sz w:val="28"/>
          <w:szCs w:val="28"/>
          <w:u w:val="single"/>
          <w:lang w:val="lv-LV"/>
        </w:rPr>
        <w:t>Labās prakses ieteikumi</w:t>
      </w:r>
      <w:r w:rsidRPr="00C73152">
        <w:rPr>
          <w:i/>
          <w:sz w:val="28"/>
          <w:szCs w:val="28"/>
          <w:u w:val="single"/>
          <w:lang w:val="lv-LV"/>
        </w:rPr>
        <w:t>:</w:t>
      </w:r>
    </w:p>
    <w:p w:rsidR="00C73152" w:rsidRDefault="00C73152" w:rsidP="00A6408C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 Lai projekta īstenotāja darbinieki būtu informēti par nepieciešamību pārbaudīt klienta atbilstību projekta mērķa grupai, pirms pakalpojuma sniegšanas mērķa grupas pārstāvim, izstrādāt rīcību/iekšējos noteikumus/procedūru aprakstu mērķa grupas pārbaudes veikšanas nodrošināšanai un ar to iepazīstināt attiecīgos projekta īstenošanā iesaistītos darbiniekus.</w:t>
      </w:r>
    </w:p>
    <w:p w:rsidR="00C73152" w:rsidRDefault="00C73152" w:rsidP="00A6408C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</w:p>
    <w:p w:rsidR="00C73152" w:rsidRDefault="00C73152" w:rsidP="00A6408C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2. Dokumentēt Fonda mērķa grupas pārbaudes veikšanu, </w:t>
      </w:r>
      <w:r w:rsidRPr="00E86497">
        <w:rPr>
          <w:sz w:val="28"/>
          <w:szCs w:val="28"/>
          <w:lang w:val="lv-LV"/>
        </w:rPr>
        <w:t xml:space="preserve">projekta dalībnieku mērķa grupas </w:t>
      </w:r>
      <w:r>
        <w:rPr>
          <w:sz w:val="28"/>
          <w:szCs w:val="28"/>
          <w:lang w:val="lv-LV"/>
        </w:rPr>
        <w:t xml:space="preserve">pārbaudes reģistrā, norādot personas vārdu, uzvārdu, </w:t>
      </w:r>
      <w:proofErr w:type="spellStart"/>
      <w:r>
        <w:rPr>
          <w:sz w:val="28"/>
          <w:szCs w:val="28"/>
          <w:lang w:val="lv-LV"/>
        </w:rPr>
        <w:t>valstspiederību</w:t>
      </w:r>
      <w:proofErr w:type="spellEnd"/>
      <w:r>
        <w:rPr>
          <w:sz w:val="28"/>
          <w:szCs w:val="28"/>
          <w:lang w:val="lv-LV"/>
        </w:rPr>
        <w:t xml:space="preserve"> (pilsonību), </w:t>
      </w:r>
      <w:r w:rsidR="00F71CBF" w:rsidRPr="00E86497">
        <w:rPr>
          <w:sz w:val="28"/>
          <w:szCs w:val="28"/>
          <w:lang w:val="lv-LV"/>
        </w:rPr>
        <w:t xml:space="preserve">uzturēšanās </w:t>
      </w:r>
      <w:r>
        <w:rPr>
          <w:sz w:val="28"/>
          <w:szCs w:val="28"/>
          <w:lang w:val="lv-LV"/>
        </w:rPr>
        <w:t xml:space="preserve">ilgumu Latvijas teritorijā </w:t>
      </w:r>
      <w:r w:rsidR="00F71CBF" w:rsidRPr="00E86497">
        <w:rPr>
          <w:sz w:val="28"/>
          <w:szCs w:val="28"/>
          <w:lang w:val="lv-LV"/>
        </w:rPr>
        <w:t>(izņemot nepilsoņus)</w:t>
      </w:r>
      <w:r>
        <w:rPr>
          <w:sz w:val="28"/>
          <w:szCs w:val="28"/>
          <w:lang w:val="lv-LV"/>
        </w:rPr>
        <w:t xml:space="preserve">, uzrādītā personu apliecinošā dokumenta nosaukumu, numuru un izdošanas datumu, uzrādītā personu apliecinošā dokumenta nosaukumu, numuru, izdevēju un izdošanas datumu. </w:t>
      </w:r>
    </w:p>
    <w:p w:rsidR="00C73152" w:rsidRDefault="00C73152" w:rsidP="00A6408C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</w:p>
    <w:p w:rsidR="006773F4" w:rsidRPr="00E86497" w:rsidRDefault="00C73152" w:rsidP="00A6408C">
      <w:pPr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Veicot Fonda mērķa grupas pārbaudes lūdzam to veikt </w:t>
      </w:r>
      <w:r w:rsidR="00F71CBF" w:rsidRPr="00E86497">
        <w:rPr>
          <w:sz w:val="28"/>
          <w:szCs w:val="28"/>
          <w:lang w:val="lv-LV"/>
        </w:rPr>
        <w:t xml:space="preserve">atbilstoši Fizisko </w:t>
      </w:r>
      <w:r>
        <w:rPr>
          <w:sz w:val="28"/>
          <w:szCs w:val="28"/>
          <w:lang w:val="lv-LV"/>
        </w:rPr>
        <w:t>peronu datu aizsardzības likuma prasībām</w:t>
      </w:r>
      <w:r w:rsidR="00F71CBF" w:rsidRPr="00E86497">
        <w:rPr>
          <w:sz w:val="28"/>
          <w:szCs w:val="28"/>
          <w:lang w:val="lv-LV"/>
        </w:rPr>
        <w:t>.</w:t>
      </w:r>
    </w:p>
    <w:sectPr w:rsidR="006773F4" w:rsidRPr="00E86497" w:rsidSect="00BD2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50E7"/>
    <w:multiLevelType w:val="multilevel"/>
    <w:tmpl w:val="0CFC8EC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0CF233B"/>
    <w:multiLevelType w:val="hybridMultilevel"/>
    <w:tmpl w:val="3A1000F0"/>
    <w:lvl w:ilvl="0" w:tplc="E506C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73F4"/>
    <w:rsid w:val="0002013D"/>
    <w:rsid w:val="00023B21"/>
    <w:rsid w:val="0004335A"/>
    <w:rsid w:val="00095944"/>
    <w:rsid w:val="000967BF"/>
    <w:rsid w:val="000A4213"/>
    <w:rsid w:val="000B15D3"/>
    <w:rsid w:val="000B2323"/>
    <w:rsid w:val="000D71B7"/>
    <w:rsid w:val="000F7801"/>
    <w:rsid w:val="001039B1"/>
    <w:rsid w:val="00232D70"/>
    <w:rsid w:val="00243D43"/>
    <w:rsid w:val="00246E27"/>
    <w:rsid w:val="002C11F4"/>
    <w:rsid w:val="002D59E5"/>
    <w:rsid w:val="002F4511"/>
    <w:rsid w:val="00322EA4"/>
    <w:rsid w:val="0034539B"/>
    <w:rsid w:val="00390B18"/>
    <w:rsid w:val="00397064"/>
    <w:rsid w:val="003E2D0F"/>
    <w:rsid w:val="0040269D"/>
    <w:rsid w:val="00407BB2"/>
    <w:rsid w:val="004823D9"/>
    <w:rsid w:val="004A2956"/>
    <w:rsid w:val="005021B8"/>
    <w:rsid w:val="00574F95"/>
    <w:rsid w:val="00606C24"/>
    <w:rsid w:val="006172DC"/>
    <w:rsid w:val="00627743"/>
    <w:rsid w:val="006773F4"/>
    <w:rsid w:val="00680594"/>
    <w:rsid w:val="006C70C5"/>
    <w:rsid w:val="006C76A5"/>
    <w:rsid w:val="006E0094"/>
    <w:rsid w:val="00777C84"/>
    <w:rsid w:val="007D2161"/>
    <w:rsid w:val="00864C0B"/>
    <w:rsid w:val="00895E77"/>
    <w:rsid w:val="008E2CA0"/>
    <w:rsid w:val="00945529"/>
    <w:rsid w:val="009B29B2"/>
    <w:rsid w:val="00A45952"/>
    <w:rsid w:val="00A6408C"/>
    <w:rsid w:val="00A86E3A"/>
    <w:rsid w:val="00AA4D59"/>
    <w:rsid w:val="00AE6C23"/>
    <w:rsid w:val="00AF376D"/>
    <w:rsid w:val="00BD2EF2"/>
    <w:rsid w:val="00BF245C"/>
    <w:rsid w:val="00BF751A"/>
    <w:rsid w:val="00C73152"/>
    <w:rsid w:val="00D60103"/>
    <w:rsid w:val="00E70578"/>
    <w:rsid w:val="00E86497"/>
    <w:rsid w:val="00F34C7D"/>
    <w:rsid w:val="00F6350D"/>
    <w:rsid w:val="00F71CBF"/>
    <w:rsid w:val="00FB3E17"/>
    <w:rsid w:val="00FD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7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ais"/>
    <w:next w:val="Parastais"/>
    <w:link w:val="Virsraksts1Rakstz"/>
    <w:qFormat/>
    <w:rsid w:val="006773F4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773F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6773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73F4"/>
    <w:rPr>
      <w:rFonts w:ascii="Tahoma" w:eastAsia="Times New Roman" w:hAnsi="Tahoma" w:cs="Tahoma"/>
      <w:sz w:val="16"/>
      <w:szCs w:val="16"/>
      <w:lang w:val="en-GB"/>
    </w:rPr>
  </w:style>
  <w:style w:type="paragraph" w:styleId="Sarakstarindkopa">
    <w:name w:val="List Paragraph"/>
    <w:basedOn w:val="Parastais"/>
    <w:uiPriority w:val="34"/>
    <w:qFormat/>
    <w:rsid w:val="006773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EvijaV</dc:creator>
  <cp:lastModifiedBy>EvijaV</cp:lastModifiedBy>
  <cp:revision>2</cp:revision>
  <dcterms:created xsi:type="dcterms:W3CDTF">2016-05-18T11:45:00Z</dcterms:created>
  <dcterms:modified xsi:type="dcterms:W3CDTF">2016-05-18T11:45:00Z</dcterms:modified>
</cp:coreProperties>
</file>